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textAlignment w:val="center"/>
        <w:rPr>
          <w:rFonts w:ascii="仿宋" w:hAnsi="仿宋" w:eastAsia="仿宋" w:cs="仿宋"/>
          <w:b/>
          <w:bCs/>
          <w:sz w:val="32"/>
          <w:szCs w:val="32"/>
        </w:rPr>
      </w:pPr>
      <w:bookmarkStart w:id="0" w:name="_GoBack"/>
      <w:bookmarkEnd w:id="0"/>
    </w:p>
    <w:p>
      <w:pPr>
        <w:rPr>
          <w:sz w:val="28"/>
          <w:szCs w:val="28"/>
        </w:rPr>
      </w:pPr>
    </w:p>
    <w:p>
      <w:pPr>
        <w:rPr>
          <w:rFonts w:ascii="黑体" w:hAnsi="黑体" w:eastAsia="黑体" w:cs="黑体"/>
          <w:bCs/>
          <w:sz w:val="32"/>
          <w:szCs w:val="32"/>
        </w:rPr>
      </w:pPr>
      <w:r>
        <w:rPr>
          <w:rFonts w:hint="eastAsia" w:ascii="黑体" w:hAnsi="黑体" w:eastAsia="黑体" w:cs="黑体"/>
          <w:bCs/>
          <w:sz w:val="32"/>
          <w:szCs w:val="32"/>
        </w:rPr>
        <w:t>附件一:</w:t>
      </w:r>
    </w:p>
    <w:tbl>
      <w:tblPr>
        <w:tblStyle w:val="7"/>
        <w:tblW w:w="10920" w:type="dxa"/>
        <w:tblInd w:w="96" w:type="dxa"/>
        <w:tblLayout w:type="autofit"/>
        <w:tblCellMar>
          <w:top w:w="0" w:type="dxa"/>
          <w:left w:w="108" w:type="dxa"/>
          <w:bottom w:w="0" w:type="dxa"/>
          <w:right w:w="108" w:type="dxa"/>
        </w:tblCellMar>
      </w:tblPr>
      <w:tblGrid>
        <w:gridCol w:w="486"/>
        <w:gridCol w:w="783"/>
        <w:gridCol w:w="554"/>
        <w:gridCol w:w="513"/>
        <w:gridCol w:w="6761"/>
        <w:gridCol w:w="1823"/>
      </w:tblGrid>
      <w:tr>
        <w:tblPrEx>
          <w:tblCellMar>
            <w:top w:w="0" w:type="dxa"/>
            <w:left w:w="108" w:type="dxa"/>
            <w:bottom w:w="0" w:type="dxa"/>
            <w:right w:w="108" w:type="dxa"/>
          </w:tblCellMar>
        </w:tblPrEx>
        <w:trPr>
          <w:trHeight w:val="8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产品</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招标参数</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备注1</w:t>
            </w:r>
          </w:p>
        </w:tc>
      </w:tr>
      <w:tr>
        <w:tblPrEx>
          <w:tblCellMar>
            <w:top w:w="0" w:type="dxa"/>
            <w:left w:w="108" w:type="dxa"/>
            <w:bottom w:w="0" w:type="dxa"/>
            <w:right w:w="108" w:type="dxa"/>
          </w:tblCellMar>
        </w:tblPrEx>
        <w:trPr>
          <w:trHeight w:val="7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主扩音箱</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1.驱动单元：不小于2x10"或1*12"低频单元，不小于1x1.4"压缩驱动高频单元；</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2.频响范围：不窄于65Hz-18kHz；</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3.指向角度：不小于110°H×45°V；</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4.最大声压级：不小于137dB；</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5.功率/阻抗：单功放：全频不低于680W@8</w:t>
            </w:r>
            <w:r>
              <w:rPr>
                <w:rStyle w:val="19"/>
                <w:rFonts w:eastAsia="宋体"/>
                <w:lang w:bidi="ar"/>
              </w:rPr>
              <w:t>Ω</w:t>
            </w:r>
            <w:r>
              <w:rPr>
                <w:rFonts w:hint="eastAsia" w:ascii="宋体" w:hAnsi="宋体" w:eastAsia="宋体" w:cs="宋体"/>
                <w:color w:val="000000"/>
                <w:kern w:val="0"/>
                <w:sz w:val="20"/>
                <w:szCs w:val="20"/>
                <w:lang w:bidi="ar"/>
              </w:rPr>
              <w:t>或双功放时：低频不低于700W@8</w:t>
            </w:r>
            <w:r>
              <w:rPr>
                <w:rStyle w:val="19"/>
                <w:rFonts w:eastAsia="宋体"/>
                <w:lang w:bidi="ar"/>
              </w:rPr>
              <w:t>Ω</w:t>
            </w:r>
            <w:r>
              <w:rPr>
                <w:rFonts w:hint="eastAsia" w:ascii="宋体" w:hAnsi="宋体" w:eastAsia="宋体" w:cs="宋体"/>
                <w:color w:val="000000"/>
                <w:kern w:val="0"/>
                <w:sz w:val="20"/>
                <w:szCs w:val="20"/>
                <w:lang w:bidi="ar"/>
              </w:rPr>
              <w:t>，高频不低于100W@8</w:t>
            </w:r>
            <w:r>
              <w:rPr>
                <w:rStyle w:val="19"/>
                <w:rFonts w:eastAsia="宋体"/>
                <w:lang w:bidi="ar"/>
              </w:rPr>
              <w:t>Ω</w:t>
            </w:r>
            <w:r>
              <w:rPr>
                <w:rFonts w:hint="eastAsia" w:ascii="宋体" w:hAnsi="宋体" w:eastAsia="宋体" w:cs="宋体"/>
                <w:color w:val="000000"/>
                <w:kern w:val="0"/>
                <w:sz w:val="20"/>
                <w:szCs w:val="20"/>
                <w:lang w:bidi="ar"/>
              </w:rPr>
              <w:t>；</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6.驱动模式：可单功放或双功放驱动，可采用数字信号处理</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品牌：德国d&amp;b 美国EV 美国EAW 意大利AXIOM 法国L-ACOUSTICS</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流动返听音箱</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1.驱动单元：不小于1x12"低频单元，不小于1x1.25"高音单元;</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2.频响范围：不窄于75Hz-20kHz；</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3.指向角度：不窄于75°Hx75°V；</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4.灵敏度：不小于105dB；</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5.最大声压级：不小于131dB；</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6.功率/阻抗：不小于200W RMS/500W PGM，支持8</w:t>
            </w:r>
            <w:r>
              <w:rPr>
                <w:rStyle w:val="19"/>
                <w:rFonts w:eastAsia="宋体"/>
                <w:lang w:bidi="ar"/>
              </w:rPr>
              <w:t>Ω</w:t>
            </w:r>
            <w:r>
              <w:rPr>
                <w:rFonts w:hint="eastAsia" w:ascii="宋体" w:hAnsi="宋体" w:eastAsia="宋体" w:cs="宋体"/>
                <w:color w:val="000000"/>
                <w:kern w:val="0"/>
                <w:sz w:val="20"/>
                <w:szCs w:val="20"/>
                <w:lang w:bidi="ar"/>
              </w:rPr>
              <w:t>定阻分频驱动</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品牌：德国d&amp;b 美国EV 美国EAW 意大利AXIOM 法国L-ACOUSTICS</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观众厅补声全频音箱</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1.驱动单元： 不小于1x8"低音单元；不小于1x1"高音单元;</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2.频率响应范围：不窄于60 Hz-18 kHz；</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3.指向角度：不窄于65°Hx55°V；</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4.灵敏度：不小于95dB；</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5.最大声压级：不小于124dB；</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6.功率/阻抗：150W持续，375W节目，支持8</w:t>
            </w:r>
            <w:r>
              <w:rPr>
                <w:rStyle w:val="19"/>
                <w:rFonts w:eastAsia="宋体"/>
                <w:lang w:bidi="ar"/>
              </w:rPr>
              <w:t>Ω</w:t>
            </w:r>
            <w:r>
              <w:rPr>
                <w:rFonts w:hint="eastAsia" w:ascii="宋体" w:hAnsi="宋体" w:eastAsia="宋体" w:cs="宋体"/>
                <w:color w:val="000000"/>
                <w:kern w:val="0"/>
                <w:sz w:val="20"/>
                <w:szCs w:val="20"/>
                <w:lang w:bidi="ar"/>
              </w:rPr>
              <w:t>定阻分频驱动</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品牌：德国d&amp;b 美国EV 美国EAW 意大利AXIOM 法国L-ACOUSTICS</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舞台固定扩声全频音箱</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1.驱动单元：不小于1x12"低音单元，不小于1x1.4"高音单元;</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2.频率响应范围：不窄于65Hz-17kHz；</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3.指向角度：不窄于60°Hx50°V；</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4.灵敏度：不低于97dB；</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5.最大声压级：不低于128dB；</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6.功率/阻抗：不低于200W持续，500W节目，支持8</w:t>
            </w:r>
            <w:r>
              <w:rPr>
                <w:rStyle w:val="19"/>
                <w:rFonts w:eastAsia="宋体"/>
                <w:lang w:bidi="ar"/>
              </w:rPr>
              <w:t>Ω</w:t>
            </w:r>
            <w:r>
              <w:rPr>
                <w:rFonts w:hint="eastAsia" w:ascii="宋体" w:hAnsi="宋体" w:eastAsia="宋体" w:cs="宋体"/>
                <w:color w:val="000000"/>
                <w:kern w:val="0"/>
                <w:sz w:val="20"/>
                <w:szCs w:val="20"/>
                <w:lang w:bidi="ar"/>
              </w:rPr>
              <w:t>定阻分频驱动</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品牌：德国d&amp;b 美国EV 美国EAW 意大利AXIOM 法国L-ACOUSTICS</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超低频音箱</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1.驱动单元：不小于2×15"或1*18"超低频单元；</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2.频响范围：不窄于37Hz-140Hz；</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3.指向角度：不窄于360°H×360°V；</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4.灵敏度：不小于105dB；</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5.最大声压级：不小于132dB；</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6.功率/阻抗：不小于900W@4</w:t>
            </w:r>
            <w:r>
              <w:rPr>
                <w:rStyle w:val="19"/>
                <w:rFonts w:eastAsia="宋体"/>
                <w:lang w:bidi="ar"/>
              </w:rPr>
              <w:t>Ω</w:t>
            </w:r>
            <w:r>
              <w:rPr>
                <w:rFonts w:hint="eastAsia" w:ascii="宋体" w:hAnsi="宋体" w:eastAsia="宋体" w:cs="宋体"/>
                <w:color w:val="000000"/>
                <w:kern w:val="0"/>
                <w:sz w:val="20"/>
                <w:szCs w:val="20"/>
                <w:lang w:bidi="ar"/>
              </w:rPr>
              <w:t>；</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7.驱动模式：单功放驱动；</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品牌：德国d&amp;b 美国EV 美国EAW 意大利AXIOM 法国L-ACOUSTICS</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四通道带DSP的数字功率放大器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先进的开关电源，4通道高性能数字功放，功率不低于4X1600W/4</w:t>
            </w:r>
            <w:r>
              <w:rPr>
                <w:rStyle w:val="19"/>
                <w:rFonts w:eastAsia="宋体"/>
                <w:lang w:bidi="ar"/>
              </w:rPr>
              <w:t>Ω</w:t>
            </w:r>
            <w:r>
              <w:rPr>
                <w:rFonts w:hint="eastAsia" w:ascii="宋体" w:hAnsi="宋体" w:eastAsia="宋体" w:cs="宋体"/>
                <w:color w:val="000000"/>
                <w:kern w:val="0"/>
                <w:sz w:val="20"/>
                <w:szCs w:val="20"/>
                <w:lang w:bidi="ar"/>
              </w:rPr>
              <w:t>，4X800W/8</w:t>
            </w:r>
            <w:r>
              <w:rPr>
                <w:rStyle w:val="19"/>
                <w:rFonts w:eastAsia="宋体"/>
                <w:lang w:bidi="ar"/>
              </w:rPr>
              <w:t>Ω</w:t>
            </w:r>
            <w:r>
              <w:rPr>
                <w:rFonts w:hint="eastAsia" w:ascii="宋体" w:hAnsi="宋体" w:eastAsia="宋体" w:cs="宋体"/>
                <w:color w:val="000000"/>
                <w:kern w:val="0"/>
                <w:sz w:val="20"/>
                <w:szCs w:val="20"/>
                <w:lang w:bidi="ar"/>
              </w:rPr>
              <w:t>；</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1.总通道数不少于4路；</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2.内置DSP处理功能，含投标扬声器的原厂预设数据</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3.DSP支持不少于49个功放快照</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4.集成功率共享功能：可以将功率分配在任意通道上；</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5.集成软件监控，可远程控制监测功放的工作状态</w:t>
            </w:r>
          </w:p>
          <w:p>
            <w:pPr>
              <w:widowControl/>
              <w:jc w:val="center"/>
              <w:textAlignment w:val="center"/>
              <w:rPr>
                <w:rFonts w:hint="eastAsia" w:ascii="宋体" w:hAnsi="宋体" w:eastAsia="宋体" w:cs="宋体"/>
                <w:color w:val="000000"/>
                <w:kern w:val="0"/>
                <w:sz w:val="20"/>
                <w:szCs w:val="20"/>
                <w:lang w:eastAsia="zh-CN" w:bidi="ar"/>
              </w:rPr>
            </w:pPr>
            <w:r>
              <w:rPr>
                <w:rFonts w:ascii="宋体" w:hAnsi="宋体" w:eastAsia="宋体" w:cs="宋体"/>
                <w:color w:val="000000"/>
                <w:kern w:val="0"/>
                <w:sz w:val="20"/>
                <w:szCs w:val="20"/>
                <w:lang w:bidi="ar"/>
              </w:rPr>
              <w:t>6</w:t>
            </w:r>
            <w:r>
              <w:rPr>
                <w:rFonts w:hint="eastAsia" w:ascii="宋体" w:hAnsi="宋体" w:eastAsia="宋体" w:cs="宋体"/>
                <w:color w:val="000000"/>
                <w:kern w:val="0"/>
                <w:sz w:val="20"/>
                <w:szCs w:val="20"/>
                <w:lang w:bidi="ar"/>
              </w:rPr>
              <w:t>.支持功率因数校正（PFC）技术，可接受全球85-275 VAC 的AC电源；</w:t>
            </w:r>
          </w:p>
          <w:p>
            <w:pPr>
              <w:widowControl/>
              <w:jc w:val="center"/>
              <w:textAlignment w:val="center"/>
              <w:rPr>
                <w:rFonts w:hint="eastAsia" w:ascii="宋体" w:hAnsi="宋体" w:eastAsia="宋体" w:cs="宋体"/>
                <w:color w:val="000000"/>
                <w:kern w:val="0"/>
                <w:sz w:val="20"/>
                <w:szCs w:val="20"/>
                <w:lang w:eastAsia="zh-CN" w:bidi="ar"/>
              </w:rPr>
            </w:pPr>
            <w:r>
              <w:rPr>
                <w:rFonts w:ascii="宋体" w:hAnsi="宋体" w:eastAsia="宋体" w:cs="宋体"/>
                <w:color w:val="000000"/>
                <w:kern w:val="0"/>
                <w:sz w:val="20"/>
                <w:szCs w:val="20"/>
                <w:lang w:bidi="ar"/>
              </w:rPr>
              <w:t>7</w:t>
            </w:r>
            <w:r>
              <w:rPr>
                <w:rFonts w:hint="eastAsia" w:ascii="宋体" w:hAnsi="宋体" w:eastAsia="宋体" w:cs="宋体"/>
                <w:color w:val="000000"/>
                <w:kern w:val="0"/>
                <w:sz w:val="20"/>
                <w:szCs w:val="20"/>
                <w:lang w:bidi="ar"/>
              </w:rPr>
              <w:t>.节能电源设计，集成智能轨道技术，提高效率，降低碳排放和电力运营成本；</w:t>
            </w:r>
          </w:p>
          <w:p>
            <w:pPr>
              <w:widowControl/>
              <w:jc w:val="center"/>
              <w:textAlignment w:val="center"/>
              <w:rPr>
                <w:rFonts w:hint="eastAsia" w:ascii="宋体" w:hAnsi="宋体" w:eastAsia="宋体" w:cs="宋体"/>
                <w:color w:val="000000"/>
                <w:kern w:val="0"/>
                <w:sz w:val="20"/>
                <w:szCs w:val="20"/>
                <w:lang w:eastAsia="zh-CN" w:bidi="ar"/>
              </w:rPr>
            </w:pPr>
            <w:r>
              <w:rPr>
                <w:rFonts w:ascii="宋体" w:hAnsi="宋体" w:eastAsia="宋体" w:cs="宋体"/>
                <w:color w:val="000000"/>
                <w:kern w:val="0"/>
                <w:sz w:val="20"/>
                <w:szCs w:val="20"/>
                <w:lang w:bidi="ar"/>
              </w:rPr>
              <w:t>8</w:t>
            </w:r>
            <w:r>
              <w:rPr>
                <w:rFonts w:hint="eastAsia" w:ascii="宋体" w:hAnsi="宋体" w:eastAsia="宋体" w:cs="宋体"/>
                <w:color w:val="000000"/>
                <w:kern w:val="0"/>
                <w:sz w:val="20"/>
                <w:szCs w:val="20"/>
                <w:lang w:bidi="ar"/>
              </w:rPr>
              <w:t>.具有主动阻尼控制技术用于音箱线缆损耗补偿；</w:t>
            </w:r>
          </w:p>
          <w:p>
            <w:pPr>
              <w:widowControl/>
              <w:jc w:val="center"/>
              <w:textAlignment w:val="center"/>
              <w:rPr>
                <w:rFonts w:hint="eastAsia" w:ascii="宋体" w:hAnsi="宋体" w:eastAsia="宋体" w:cs="宋体"/>
                <w:color w:val="000000"/>
                <w:kern w:val="0"/>
                <w:sz w:val="20"/>
                <w:szCs w:val="20"/>
                <w:lang w:eastAsia="zh-CN" w:bidi="ar"/>
              </w:rPr>
            </w:pPr>
            <w:r>
              <w:rPr>
                <w:rFonts w:ascii="宋体" w:hAnsi="宋体" w:eastAsia="宋体" w:cs="宋体"/>
                <w:color w:val="000000"/>
                <w:kern w:val="0"/>
                <w:sz w:val="20"/>
                <w:szCs w:val="20"/>
                <w:lang w:bidi="ar"/>
              </w:rPr>
              <w:t>9</w:t>
            </w:r>
            <w:r>
              <w:rPr>
                <w:rFonts w:hint="eastAsia" w:ascii="宋体" w:hAnsi="宋体" w:eastAsia="宋体" w:cs="宋体"/>
                <w:color w:val="000000"/>
                <w:kern w:val="0"/>
                <w:sz w:val="20"/>
                <w:szCs w:val="20"/>
                <w:lang w:bidi="ar"/>
              </w:rPr>
              <w:t>.全面的电路硬件保护：交流保护、削波限幅器、直流保护、甚高频保护、短路保护、长期限幅器、热保护、温度预测</w:t>
            </w:r>
          </w:p>
          <w:p>
            <w:pPr>
              <w:widowControl/>
              <w:jc w:val="center"/>
              <w:textAlignment w:val="center"/>
              <w:rPr>
                <w:rFonts w:hint="eastAsia" w:ascii="宋体" w:hAnsi="宋体" w:eastAsia="宋体" w:cs="宋体"/>
                <w:color w:val="000000"/>
                <w:kern w:val="0"/>
                <w:sz w:val="20"/>
                <w:szCs w:val="20"/>
                <w:lang w:eastAsia="zh-CN" w:bidi="ar"/>
              </w:rPr>
            </w:pPr>
            <w:r>
              <w:rPr>
                <w:rFonts w:ascii="宋体" w:hAnsi="宋体" w:eastAsia="宋体" w:cs="宋体"/>
                <w:color w:val="000000"/>
                <w:kern w:val="0"/>
                <w:sz w:val="20"/>
                <w:szCs w:val="20"/>
                <w:lang w:bidi="ar"/>
              </w:rPr>
              <w:t>10</w:t>
            </w:r>
            <w:r>
              <w:rPr>
                <w:rFonts w:hint="eastAsia" w:ascii="宋体" w:hAnsi="宋体" w:eastAsia="宋体" w:cs="宋体"/>
                <w:color w:val="000000"/>
                <w:kern w:val="0"/>
                <w:sz w:val="20"/>
                <w:szCs w:val="20"/>
                <w:lang w:bidi="ar"/>
              </w:rPr>
              <w:t>.总谐波失真+噪音：&lt;0.05%；</w:t>
            </w:r>
          </w:p>
          <w:p>
            <w:pPr>
              <w:widowControl/>
              <w:jc w:val="center"/>
              <w:textAlignment w:val="center"/>
              <w:rPr>
                <w:rFonts w:hint="eastAsia" w:ascii="宋体" w:hAnsi="宋体" w:eastAsia="宋体" w:cs="宋体"/>
                <w:color w:val="000000"/>
                <w:kern w:val="0"/>
                <w:sz w:val="20"/>
                <w:szCs w:val="20"/>
                <w:lang w:eastAsia="zh-CN" w:bidi="ar"/>
              </w:rPr>
            </w:pPr>
            <w:r>
              <w:rPr>
                <w:rFonts w:ascii="宋体" w:hAnsi="宋体" w:eastAsia="宋体" w:cs="宋体"/>
                <w:color w:val="000000"/>
                <w:kern w:val="0"/>
                <w:sz w:val="20"/>
                <w:szCs w:val="20"/>
                <w:lang w:bidi="ar"/>
              </w:rPr>
              <w:t>11</w:t>
            </w:r>
            <w:r>
              <w:rPr>
                <w:rFonts w:hint="eastAsia" w:ascii="宋体" w:hAnsi="宋体" w:eastAsia="宋体" w:cs="宋体"/>
                <w:color w:val="000000"/>
                <w:kern w:val="0"/>
                <w:sz w:val="20"/>
                <w:szCs w:val="20"/>
                <w:lang w:bidi="ar"/>
              </w:rPr>
              <w:t>.互调失真：&lt;0.05%；</w:t>
            </w:r>
          </w:p>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lang w:bidi="ar"/>
              </w:rPr>
              <w:t>12</w:t>
            </w:r>
            <w:r>
              <w:rPr>
                <w:rFonts w:hint="eastAsia" w:ascii="宋体" w:hAnsi="宋体" w:eastAsia="宋体" w:cs="宋体"/>
                <w:color w:val="000000"/>
                <w:kern w:val="0"/>
                <w:sz w:val="20"/>
                <w:szCs w:val="20"/>
                <w:lang w:bidi="ar"/>
              </w:rPr>
              <w:t>.配备专门的独立式警报装置，可能引起危害的故障或进行不当操作会触发该警报；</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品牌：德国d&amp;b 美国EV 美国EAW  意大利Powersoft 法国L-ACOUSTICS</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数字调音主控台</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1.自带触摸电容屏，尺寸不小于12";                                           2.不小于120个自定义控制通道;                                               3.不小于20个独立物理通道显示屏;</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4.不小于21个独立物理精准信号电平表，用于信号监测;</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5.不小于19个可分配的自定义按键;                                             6.USB立体声录音与回放不小于（96k 24bit）;                                  7.不少于6路XLR话筒/线路输入，6路XLR线路输出；                                         8.不少于1组数字立体声AES3输入，1组数字立体声AES3输出；                                9.自带BNC字时钟I/O接口;                                                   10.不少于1个IO Port端口用于扩展音频通道，每个端口可128进x128出通道，96、48 kHz可切换；                                                             11.自带VGA输出接口，用于扩展自定义显示屏幕；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品牌：DIGICO     ALLEN&amp;HEATH（dLive C2500）  MIDAS(m32)   BEHRINGER(Wing) </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接口箱</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 </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1.与调音台同一品牌；</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2.不少于32路XLR输入，16路XLR输出；</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3.采样频率不少于96kHz；</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4.系统延迟≤0.6ms</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5.兼容AES67                                                               6.不少于64通道分4组的自动混音                                             7.不少于128x64总线的输入输出处理能力</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品牌：DIGICO  ALLEN&amp;HEATH（CDM32 ）  MIDAS(m33)   BEHRINGER(Wing)</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无线话筒接收机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1.双通道数字无线接收机，数字式预开关分集；</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2.采用数字调制方式，调谐带宽：44MHz（视地区而定）；</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3.每个频带兼容通道32ch（视区域而定）；每个6MHz电视频段兼容通道10ch；每个8 MHz频段兼容通道12ch；</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4.具备24位数字音频；延时：3.2ms；</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5.频率响应：20Hz-20kHz（取决于话筒）；</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6.动态范围：120 dB；</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7.可通过红外扫描和同步；</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8.发射机支持AA电池和同品牌充电锂电池；2节AA电池可持续使用长达8小时；选用同品牌充电锂电池可以精确到小时和分钟的精度监控电池电量状态，以及电池续航时间和健康状况统计数据。</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9.最大工作范围：100米；</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品牌：SHURE    SENNHEISER  </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无线手持话筒</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配备Beta®58A话筒头的手持式发射机</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SLXD2/B58配备Beta®58A可互换的话筒头。从报告厅到现场演出，SLXD2/B58是让您对演讲和现场演出充满信心的理想之选。</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品牌：SHURE    SENNHEISER  </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音频工作站电脑</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macOS操作系统，音频工作站电脑，13 英寸视网膜显示屏，8 核中央处理器、8 核图形处理器和 16 核神经网络引擎，16GB 统一内存，1TB 固态硬盘，两个雷电 / USB 4 端口，Logic Pro专业音频制作软件</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品牌：APPLE</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一道面光  电动调焦静音LED聚光灯</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光源：≥230W LED集成芯片模组       </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光束角度：≥12°～40°</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调焦方式：DMX电动变焦</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显色指数：≥95【需提供具备ILAC-MRA和CNAS资质的第三方检测机构出具产品显色性指标数据报告原件复印件加盖制造商公章加以佐证】</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色温：3200K/5600K</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调光：线性调光</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协议：具备旋钮，DMX协议，RDM协议。</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通道：（3200K/5600K）3CH</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中心照度：≥12600LUX /3米（15°3200K）【需提供具备ILAC-MRA和CNAS资质的第三方检测机构出具产品中心照度测试数据报告原件复印件加盖制造商公章加以佐证】</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显示：1.8英寸TFT液晶显示屏带有5个按键</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品牌商标：灯体应有明显的品牌烙印模具商标，杜绝贴牌仿制产品。</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生产标准：符合GB7000.1-2015/GB7000.217-2008灯具生产工艺国家标准。（需提供具备ILAC-MRA和CNAS资质的第三方检测机构出具的产品质检合格报告书原件复印件加盖制造商公章核查）。</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品牌：Nightsun、明道、励丰、大都、夜王</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左右侧光   LED PAR灯</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灯珠：≥61颗×3W全彩灯珠</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通道：≥4/8通道可切换。                                                                                                                                 </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显色指数：Ra&gt;90。</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中心照度：≥3000Lux【4米25°全亮状态下】【需提供具备ILAC-MRA和CNAS资质的第三方检测机构出具产品中心照度测试数据报告加以佐证】</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静音风机设计</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安装方式：手拉手1.8米电源/信号连接安装。</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远程控制：灯具需自带RDM远程智能控制，可通过控制系统修改灯具参数。</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外观材料：整机外壳机箱为压铸铝成形，箱体需带有明显的品牌LOGO铸印，防止假冒贴牌。 </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生产标准：符合GB7000.1-2015/GB7000.217-2008灯具生产工艺国家标准。（需提供具备ILAC-MRA和CNAS资质的第三方检测机构出具的产品质检合格报告书原件核查）</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品牌：Nightsun、明道、励丰、大都、夜王</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一道顶光  LED PAR灯</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灯珠：≥61颗×3W全彩灯珠</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通道：≥4/8通道可切换。                                                                                                                                 </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显色指数：Ra&gt;90。</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中心照度：≥3000Lux【4米25°全亮状态下】【需提供具备ILAC-MRA和CNAS资质的第三方检测机构出具产品中心照度测试数据报告加以佐证】</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静音风机设计</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安装方式：手拉手1.8米电源/信号连接安装。</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远程控制：灯具需自带RDM远程智能控制，可通过控制系统修改灯具参数。</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外观材料：整机外壳机箱为压铸铝成形，箱体需带有明显的品牌LOGO铸印，防止假冒贴牌。 </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生产标准：符合GB7000.1-2015/GB7000.217-2008灯具生产工艺国家标准。（需提供具备ILAC-MRA和CNAS资质的第三方检测机构出具的产品质检合格报告书原件核查）</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品牌：Nightsun、明道、励丰、大都、夜王</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一道顶光  LED面板会议灯</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光源：≥672颗0.5W灯珠    </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色温：3200K～5600K色温可调</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光源寿命：≥20000小时</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透镜角度（固焦）：120° </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显色指数：CRI≥90【需提供具备ILAC-MRA和CNAS资质的第三方检测机构出具产品显色性指标数据报告加以佐证】</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控制通道：2CH</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中心照度：≥513Lux【3米4000K】【需提供具备ILAC-MRA和CNAS资质的第三方检测机构出具产品中心照度测试数据报告加以佐证】</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显示：TFT液晶屏彩屏+点阵式按键操作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品牌商标：灯体应有明显的品牌烙印模具商标，杜绝贴牌仿制产品。</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协议：具备旋钮，DMX协议，RDM协议。</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散热系统：无风机设计</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电源/信号线：标配3米长的手拉手电源/信号</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外观材料：型材铝</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生产标准：符合GB7000.1-2015/GB7000.217-2008灯具生产工艺国家标准。（需提供具备ILAC-MRA和CNAS资质的第三方检测机构出具的产品质检合格报告书原件核查）。</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品牌：Nightsun、明道、励丰、大都、夜王</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一道顶光  三合一摇头灯</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额定电压 : AC100V~240V±10%，50/60Hz</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功耗 :  300W</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光源 : 单颗200W进口COB集成灯珠</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色温 : 7500K</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灯珠寿命&gt;20000小时</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显色指数 : CRI&gt;75</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DMX通道 : 18个国际DMX通道</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控制模式 : 自走、主从、DMX、声控</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显示屏 : 采用彩色LCD液晶显示屏设计，界面美观大气，外置按键式操作，支持中英文切换，当倒立安装时，自动翻转倒立显示。</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颜色盘 : 1个颜色盘，9色+白光，可半色，有彩虹效果。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图案盘 : 1个固定图案盘，10个固定图案+白光，每个图案都有抖动效果，图案盘带正反向快慢流水效果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旋转图案盘 : 1个旋转图案盘，7种图案+白光，每个图案都可正反自转并有抖动效果，图案盘带正反向快慢流水效果。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棱镜 : 一个旋转4棱镜，棱镜均可正反方向旋转，并具有棱镜定位功能</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雾化镜：具有染色效果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水平扫描 : X轴：540°，16Bit；</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垂直扫描 : Y轴：240°，16Bit。</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自动纠错 : 水平垂直均采用光电复位系统，偶出错可自动检索复位</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频闪 : 高速的电子调节频闪设计，频闪频率高达1～14次/秒，频闪频率速度可任意调节。</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变焦光斑 : 7°～21°超宽角度电子线性变焦</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调光 : 0%～100%线性调光</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调焦 : 电子调焦，超微顺滑调整焦距，图案清晰度可任意调节</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外壳材料 : 采用耐高温防火型工程塑料注塑成形，更具流水线条美感</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品牌：Nightsun、明道、励丰、大都、夜王</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二道顶光  LED PAR灯</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灯珠：≥61颗×3W全彩灯珠</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通道：≥4/8通道可切换。                                                                                                                                 </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显色指数：Ra&gt;90。</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中心照度：≥3000Lux【4米25°全亮状态下】【需提供具备ILAC-MRA和CNAS资质的第三方检测机构出具产品中心照度测试数据报告加以佐证】</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静音风机设计</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安装方式：手拉手1.8米电源/信号连接安装。</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远程控制：灯具需自带RDM远程智能控制，可通过控制系统修改灯具参数。</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外观材料：整机外壳机箱为压铸铝成形，箱体需带有明显的品牌LOGO铸印，防止假冒贴牌。 </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生产标准：符合GB7000.1-2015/GB7000.217-2008灯具生产工艺国家标准。（需提供具备ILAC-MRA和CNAS资质的第三方检测机构出具的产品质检合格报告书原件核查）</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品牌：Nightsun、明道、励丰、大都、夜王</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二道顶光  LED面板会议灯</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光源：≥672颗0.5W灯珠    </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色温：3200K～5600K色温可调</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光源寿命：≥20000小时</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透镜角度（固焦）：120° </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显色指数：CRI≥90【需提供具备ILAC-MRA和CNAS资质的第三方检测机构出具产品显色性指标数据报告加以佐证】</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控制通道：2CH</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中心照度：≥513Lux【3米4000K】【需提供具备ILAC-MRA和CNAS资质的第三方检测机构出具产品中心照度测试数据报告加以佐证】</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显示：TFT液晶屏彩屏+点阵式按键操作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品牌商标：灯体应有明显的品牌烙印模具商标，杜绝贴牌仿制产品。</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协议：具备旋钮，DMX协议，RDM协议。</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散热系统：无风机设计</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电源/信号线：标配3米长的手拉手电源/信号</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外观材料：型材铝</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生产标准：符合GB7000.1-2015/GB7000.217-2008灯具生产工艺国家标准。（需提供具备ILAC-MRA和CNAS资质的第三方检测机构出具的产品质检合格报告书原件核查）。</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品牌：Nightsun、明道、励丰、大都、夜王</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二道顶光  三合一摇头灯</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额定电压 : AC100V~240V±10%，50/60Hz</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功耗 :  300W</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光源 : 单颗200W进口COB集成灯珠</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色温 : 7500K</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灯珠寿命&gt;20000小时</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显色指数 : CRI&gt;75</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DMX通道 : 18个国际DMX通道</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控制模式 : 自走、主从、DMX、声控</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显示屏 : 采用彩色LCD液晶显示屏设计，界面美观大气，外置按键式操作，支持中英文切换，当倒立安装时，自动翻转倒立显示。</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颜色盘 : 1个颜色盘，9色+白光，可半色，有彩虹效果。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图案盘 : 1个固定图案盘，10个固定图案+白光，每个图案都有抖动效果，图案盘带正反向快慢流水效果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旋转图案盘 : 1个旋转图案盘，7种图案+白光，每个图案都可正反自转并有抖动效果，图案盘带正反向快慢流水效果。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棱镜 : 一个旋转4棱镜，棱镜均可正反方向旋转，并具有棱镜定位功能</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雾化镜：具有染色效果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水平扫描 : X轴：540°，16Bit；</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垂直扫描 : Y轴：240°，16Bit。</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自动纠错 : 水平垂直均采用光电复位系统，偶出错可自动检索复位</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频闪 : 高速的电子调节频闪设计，频闪频率高达1～14次/秒，频闪频率速度可任意调节。</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变焦光斑 : 7°～21°超宽角度电子线性变焦</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调光 : 0%～100%线性调光</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调焦 : 电子调焦，超微顺滑调整焦距，图案清晰度可任意调节</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外壳材料 : 采用耐高温防火型工程塑料注塑成形，更具流水线条美感</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品牌：Nightsun、明道、励丰、大都、夜王</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一道逆光  LED PAR灯</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灯珠：≥61颗×3W全彩灯珠</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通道：≥4/8通道可切换。                                                                                                                                 </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显色指数：Ra&gt;90。</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中心照度：≥3000Lux【4米25°全亮状态下】【需提供具备ILAC-MRA和CNAS资质的第三方检测机构出具产品中心照度测试数据报告加以佐证】</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静音风机设计</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安装方式：手拉手1.8米电源/信号连接安装。</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远程控制：灯具需自带RDM远程智能控制，可通过控制系统修改灯具参数。</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外观材料：整机外壳机箱为压铸铝成形，箱体需带有明显的品牌LOGO铸印，防止假冒贴牌。 </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生产标准：符合GB7000.1-2015/GB7000.217-2008灯具生产工艺国家标准。（需提供具备ILAC-MRA和CNAS资质的第三方检测机构出具的产品质检合格报告书原件核查）</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品牌：Nightsun、明道、励丰、大都、夜王</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一道逆光  摇头光束灯</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额定电压 : AC100V~240V±10%，50-60Hz</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功率 : 380W</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灯泡 : 进口 260W 专业泡</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色温：7500K</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灯泡寿命：1500小时</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点泡系统：远程灯泡控制系统设计，可通过控制台远程智能控制灯泡亮泡与关闭，有效延长灯泡使用寿命。</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智能风机调速：灯具在未点泡或频闪闭光状态时，风机自动降速运行，降低风机噪音，营造良好的演出环境。当风机出现故障时，显示屏将提示风机故障，60S内灯具自动灭泡保护,有效防止因风机故障而引起的烧泡或炸泡。</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DMX通道：双通道工作模式，17/21个国际DMX通道可切换</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信号输入：标准三芯/五芯信号插座输入、输出</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控制模式：自走、主从、DMX、声控</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显示屏：采用1.8寸LCD液晶显示屏，外置转轮式操作，中英文显示界面，内置重力感应，当倒立安装时，自动翻转倒立显示。</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图案盘：1个固定图案盘，14个固定图案+白光，每个图案都有抖动效果，图案盘带正反向快慢流水效果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颜色盘：1个颜色盘，14色+白光，每个颜色片均可与相邻的颜色片做半色效果、均可双向快慢流动。</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彩虹盘：内置1个七彩颜色盘，可营制出炫丽的彩虹效果。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双棱镜：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15+25+35蜂窝棱镜组合+8棱镜，独特的双棱镜设计，均可相互组合叠加或单独快慢旋转变化，生成奇异特殊多光束效果。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X轴：540°，16Bit</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Y轴：270°，16Bit</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自动纠错：水平垂直均采用光电复位系统，偶碰出错可自动检索复位</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频闪：采用机械式频闪设计，频闪频率高达1～14次/秒，频闪频率速度可任意调节。</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调焦：0%～100%电子线性调焦，超微顺滑调整焦距</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雾化：0%～100%均匀柔光雾化效果</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品牌：Nightsun、明道、励丰、大都、夜王</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地面效果灯  薄雾烟机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使用电压：AC220V/50HZ</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预热时间：8min</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功耗：1500W</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保险丝：250V/10A  </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油桶容积：2.3L </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烟量输出：15000cuft/min </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控制方式：DMX512、遥控，液晶屏控制</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尺寸：465×316×190mm，重量：7.5KG </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创新工艺的加热系统，喷射时间更持久，单次喷射可至13秒</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 xml:space="preserve">   （常规工艺的机型最长只有8秒），连续喷射间隔极短；</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产生出强劲的烟雾气浪效果；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烟雾干燥无水气，更具环保性；</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简易化的遥控及点控操作方式；</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超平滑输油管道结构，无须再担忧阻塞问题；</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内置超强信号接收模块，比常规遥控距离更远</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（可至50米外）</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品牌：Nightsun、明道、励丰、大都、夜王</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地面效果灯  摇头光束灯</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额定电压 : AC100V~240V±10%，50-60Hz</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功率 : 380W</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灯泡 : 进口 260W 专业泡</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色温：7500K</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灯泡寿命：1500小时</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点泡系统：远程灯泡控制系统设计，可通过控制台远程智能控制灯泡亮泡与关闭，有效延长灯泡使用寿命。</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智能风机调速：灯具在未点泡或频闪闭光状态时，风机自动降速运行，降低风机噪音，营造良好的演出环境。当风机出现故障时，显示屏将提示风机故障，60S内灯具自动灭泡保护,有效防止因风机故障而引起的烧泡或炸泡。</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DMX通道：双通道工作模式，17/21个国际DMX通道可切换</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信号输入：标准三芯/五芯信号插座输入、输出</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控制模式：自走、主从、DMX、声控</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显示屏：采用1.8寸LCD液晶显示屏，外置转轮式操作，中英文显示界面，内置重力感应，当倒立安装时，自动翻转倒立显示。</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图案盘：1个固定图案盘，14个固定图案+白光，每个图案都有抖动效果，图案盘带正反向快慢流水效果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颜色盘：1个颜色盘，14色+白光，每个颜色片均可与相邻的颜色片做半色效果、均可双向快慢流动。</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彩虹盘：内置1个七彩颜色盘，可营制出炫丽的彩虹效果。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双棱镜：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15+25+35蜂窝棱镜组合+8棱镜，独特的双棱镜设计，均可相互组合叠加或单独快慢旋转变化，生成奇异特殊多光束效果。</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X轴：540°，16Bit</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Y轴：270°，16Bit</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自动纠错：水平垂直均采用光电复位系统，偶碰出错可自动检索复位</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频闪：采用机械式频闪设计，频闪频率高达1～14次/秒，频闪频率速度可任意调节。</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调焦：0%～100%电子线性调焦，超微顺滑调整焦距</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雾化：0%～100%均匀柔光雾化效果</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品牌：Nightsun、明道、励丰、大都、夜王</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专业手动追光灯</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光源 :≥ phoenix 350W专业泡</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光束角 : 1-9°</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光圈 : 线性放大和缩小</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DMX通道 : 4CH</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调光器 : 双片调光</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颜色 : 5色+白色（红绿蓝橙黄）</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控制方式 : 手动控制面板，DMX-512</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色温 : 3200K～4500K～6500K～7500K四种色温可调</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生产标准：符合GB7000.1-2015/GB7000.217-2008灯具生产工艺国家标准。（需提供具备ILAC-MRA和CNAS资质的第三方检测机构出具的产品质检合格报告书原件复印件加盖制造商公章佐证）</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品牌：Nightsun、明道、励丰、大都、夜王</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专业控台</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处理器：≥酷睿双核处理器，128G 固态硬盘，4G 内存；</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信号输出：≥8个标准DMX512输出端口，4096个DMX通道</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操作界面：≥一个15.6 寸高分辩率宽屏触摸屏，支持Artnet网络功能。</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系统运行：≥10个宏功能按键，20 个重放推杆，支持1000 个虚拟程序重放，具有单独的总控推杆和按键，支持涂鸦式手写命名功能，支持CITP协议，可在控台上直接看到媒体服务器里媒体片段的图像缩略图；支持wi-fi接入,可使用Ipod Touch 和iphone等无线控灯，移动设备远程控制灯具；支持视频，支持MIDI时间码声光同步功能，断电保护：内置不间断UPS电源，可意外断电保护，防止数据丢失。</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品牌：Nightsun、明道、励丰、大都、夜王</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783"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8路信号放大器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额定电压: AC110V ～240V, 50～60Hz</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输入: 1路，输出: 8路 </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品牌：Nightsun、明道、励丰、大都、夜王</w:t>
            </w:r>
          </w:p>
        </w:tc>
      </w:tr>
      <w:tr>
        <w:tblPrEx>
          <w:tblCellMar>
            <w:top w:w="0" w:type="dxa"/>
            <w:left w:w="108" w:type="dxa"/>
            <w:bottom w:w="0" w:type="dxa"/>
            <w:right w:w="108" w:type="dxa"/>
          </w:tblCellMar>
        </w:tblPrEx>
        <w:trPr>
          <w:trHeight w:val="64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14路直通电源箱</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13"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输出功率 :≥ 14路×4KW</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显示面板：产品面板需配置有LED数显直读式电压表；可实时查看设备电压使用情况。</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主要配置：德力西断路器，亮牌三芯插座，珠江牌电缆线</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产品质量：符合CE、RoHS质量标准（需提供产品检测认证报告原件复印件加盖制造商公章核查）</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品牌：Nightsun、明道、励丰、大都、夜王</w:t>
            </w:r>
          </w:p>
        </w:tc>
      </w:tr>
      <w:tr>
        <w:tblPrEx>
          <w:tblCellMar>
            <w:top w:w="0" w:type="dxa"/>
            <w:left w:w="108" w:type="dxa"/>
            <w:bottom w:w="0" w:type="dxa"/>
            <w:right w:w="108" w:type="dxa"/>
          </w:tblCellMar>
        </w:tblPrEx>
        <w:trPr>
          <w:trHeight w:val="619"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数个</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安装架、电源时序器、电箱、线材、辅材等等其余设备及部件，需提供所投货物制造商（生产厂家）或中国总代理出具的符合本项目要求的授权书和售后服务承诺书</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bl>
    <w:p>
      <w:pPr>
        <w:widowControl/>
        <w:shd w:val="clear" w:color="auto" w:fill="FFFFFF"/>
        <w:spacing w:line="450" w:lineRule="atLeast"/>
        <w:jc w:val="left"/>
        <w:rPr>
          <w:rFonts w:ascii="微软雅黑" w:hAnsi="微软雅黑" w:eastAsia="微软雅黑" w:cs="宋体"/>
          <w:color w:val="010101"/>
          <w:kern w:val="0"/>
          <w:sz w:val="24"/>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MjI2ZTJlOTQ2NGMxMjFkMDhlZTgwZDgzODdjNzEifQ=="/>
  </w:docVars>
  <w:rsids>
    <w:rsidRoot w:val="749C1F38"/>
    <w:rsid w:val="00002DF8"/>
    <w:rsid w:val="00006E72"/>
    <w:rsid w:val="000200DB"/>
    <w:rsid w:val="0003786F"/>
    <w:rsid w:val="00056E24"/>
    <w:rsid w:val="00070D52"/>
    <w:rsid w:val="0008719C"/>
    <w:rsid w:val="000A48FC"/>
    <w:rsid w:val="000A7145"/>
    <w:rsid w:val="000B0375"/>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305D"/>
    <w:rsid w:val="0016670D"/>
    <w:rsid w:val="001817F5"/>
    <w:rsid w:val="00186D62"/>
    <w:rsid w:val="00187258"/>
    <w:rsid w:val="001941F0"/>
    <w:rsid w:val="00194A07"/>
    <w:rsid w:val="001A23F3"/>
    <w:rsid w:val="001B404A"/>
    <w:rsid w:val="001D4A1A"/>
    <w:rsid w:val="001D6860"/>
    <w:rsid w:val="001E2301"/>
    <w:rsid w:val="001F004F"/>
    <w:rsid w:val="001F186A"/>
    <w:rsid w:val="001F2B15"/>
    <w:rsid w:val="001F635C"/>
    <w:rsid w:val="00200E99"/>
    <w:rsid w:val="00204678"/>
    <w:rsid w:val="0020568F"/>
    <w:rsid w:val="00205A2C"/>
    <w:rsid w:val="00207FEC"/>
    <w:rsid w:val="002200CF"/>
    <w:rsid w:val="00227EA5"/>
    <w:rsid w:val="002403D8"/>
    <w:rsid w:val="00245CE2"/>
    <w:rsid w:val="00251752"/>
    <w:rsid w:val="0025451B"/>
    <w:rsid w:val="00264B39"/>
    <w:rsid w:val="002729A0"/>
    <w:rsid w:val="00281BB6"/>
    <w:rsid w:val="0028248C"/>
    <w:rsid w:val="00285AB2"/>
    <w:rsid w:val="00285BCB"/>
    <w:rsid w:val="002A15B7"/>
    <w:rsid w:val="002B455C"/>
    <w:rsid w:val="002D2700"/>
    <w:rsid w:val="002E3D6D"/>
    <w:rsid w:val="002E486B"/>
    <w:rsid w:val="002F47EF"/>
    <w:rsid w:val="002F7D58"/>
    <w:rsid w:val="00303A28"/>
    <w:rsid w:val="003061B2"/>
    <w:rsid w:val="0031194C"/>
    <w:rsid w:val="00314998"/>
    <w:rsid w:val="0031638B"/>
    <w:rsid w:val="0032172A"/>
    <w:rsid w:val="003226F5"/>
    <w:rsid w:val="00324BD7"/>
    <w:rsid w:val="003541E2"/>
    <w:rsid w:val="0035551D"/>
    <w:rsid w:val="003659A0"/>
    <w:rsid w:val="00375912"/>
    <w:rsid w:val="00390941"/>
    <w:rsid w:val="003A3A72"/>
    <w:rsid w:val="003C0D3D"/>
    <w:rsid w:val="003C7391"/>
    <w:rsid w:val="003C7501"/>
    <w:rsid w:val="003D0EF5"/>
    <w:rsid w:val="003E64E3"/>
    <w:rsid w:val="003E775C"/>
    <w:rsid w:val="003F5245"/>
    <w:rsid w:val="004006B0"/>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8D5"/>
    <w:rsid w:val="006323FB"/>
    <w:rsid w:val="00634138"/>
    <w:rsid w:val="00641F76"/>
    <w:rsid w:val="006449B0"/>
    <w:rsid w:val="00650F8C"/>
    <w:rsid w:val="00651F2E"/>
    <w:rsid w:val="006543A2"/>
    <w:rsid w:val="00656EDF"/>
    <w:rsid w:val="00662656"/>
    <w:rsid w:val="00682D77"/>
    <w:rsid w:val="00692EDD"/>
    <w:rsid w:val="0069317F"/>
    <w:rsid w:val="00694D09"/>
    <w:rsid w:val="006A2AAE"/>
    <w:rsid w:val="006B2A5A"/>
    <w:rsid w:val="006B3E08"/>
    <w:rsid w:val="006B4528"/>
    <w:rsid w:val="006B7C16"/>
    <w:rsid w:val="006C000F"/>
    <w:rsid w:val="006C2F5A"/>
    <w:rsid w:val="006C35D8"/>
    <w:rsid w:val="006D5C1C"/>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1C51"/>
    <w:rsid w:val="007753A5"/>
    <w:rsid w:val="00775CC1"/>
    <w:rsid w:val="00786F41"/>
    <w:rsid w:val="007A78CA"/>
    <w:rsid w:val="007B1F96"/>
    <w:rsid w:val="007B5F71"/>
    <w:rsid w:val="007B6FA4"/>
    <w:rsid w:val="007B7326"/>
    <w:rsid w:val="007B7C48"/>
    <w:rsid w:val="007F24AF"/>
    <w:rsid w:val="00801328"/>
    <w:rsid w:val="0080430C"/>
    <w:rsid w:val="008068FF"/>
    <w:rsid w:val="008158CD"/>
    <w:rsid w:val="00831398"/>
    <w:rsid w:val="00832960"/>
    <w:rsid w:val="00845B80"/>
    <w:rsid w:val="0085128F"/>
    <w:rsid w:val="00862E62"/>
    <w:rsid w:val="00863C16"/>
    <w:rsid w:val="008651D5"/>
    <w:rsid w:val="008730B1"/>
    <w:rsid w:val="00882E84"/>
    <w:rsid w:val="0089145C"/>
    <w:rsid w:val="008914FE"/>
    <w:rsid w:val="008B72DA"/>
    <w:rsid w:val="008C13F7"/>
    <w:rsid w:val="008E292E"/>
    <w:rsid w:val="008E457C"/>
    <w:rsid w:val="008E63C4"/>
    <w:rsid w:val="008F58A5"/>
    <w:rsid w:val="00907403"/>
    <w:rsid w:val="00915FE6"/>
    <w:rsid w:val="00920277"/>
    <w:rsid w:val="00927259"/>
    <w:rsid w:val="00951B05"/>
    <w:rsid w:val="00955E3A"/>
    <w:rsid w:val="00955E3C"/>
    <w:rsid w:val="00971B64"/>
    <w:rsid w:val="009802DA"/>
    <w:rsid w:val="00982496"/>
    <w:rsid w:val="009A1192"/>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412"/>
    <w:rsid w:val="00B677A2"/>
    <w:rsid w:val="00B705C3"/>
    <w:rsid w:val="00B70927"/>
    <w:rsid w:val="00B74ECD"/>
    <w:rsid w:val="00B83B27"/>
    <w:rsid w:val="00B84A83"/>
    <w:rsid w:val="00B95751"/>
    <w:rsid w:val="00BA19E9"/>
    <w:rsid w:val="00BA7AF6"/>
    <w:rsid w:val="00BC674C"/>
    <w:rsid w:val="00BC7DB7"/>
    <w:rsid w:val="00BE0832"/>
    <w:rsid w:val="00BE7761"/>
    <w:rsid w:val="00C05409"/>
    <w:rsid w:val="00C05444"/>
    <w:rsid w:val="00C06163"/>
    <w:rsid w:val="00C12112"/>
    <w:rsid w:val="00C23590"/>
    <w:rsid w:val="00C25C8C"/>
    <w:rsid w:val="00C31AE7"/>
    <w:rsid w:val="00C321B6"/>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F36DE"/>
    <w:rsid w:val="00CF7C52"/>
    <w:rsid w:val="00D145BF"/>
    <w:rsid w:val="00D23C32"/>
    <w:rsid w:val="00D33856"/>
    <w:rsid w:val="00D3487D"/>
    <w:rsid w:val="00D4347D"/>
    <w:rsid w:val="00D534CB"/>
    <w:rsid w:val="00D55532"/>
    <w:rsid w:val="00D6599F"/>
    <w:rsid w:val="00D70389"/>
    <w:rsid w:val="00D82532"/>
    <w:rsid w:val="00D833D5"/>
    <w:rsid w:val="00D901D9"/>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E0E12"/>
    <w:rsid w:val="00EE3DF1"/>
    <w:rsid w:val="00EE6B0B"/>
    <w:rsid w:val="00EF0BDC"/>
    <w:rsid w:val="00EF3C79"/>
    <w:rsid w:val="00EF5722"/>
    <w:rsid w:val="00F027A8"/>
    <w:rsid w:val="00F07299"/>
    <w:rsid w:val="00F11AA7"/>
    <w:rsid w:val="00F14AED"/>
    <w:rsid w:val="00F17C86"/>
    <w:rsid w:val="00F23E7E"/>
    <w:rsid w:val="00F25AF0"/>
    <w:rsid w:val="00F32B0B"/>
    <w:rsid w:val="00F340CA"/>
    <w:rsid w:val="00F34F9B"/>
    <w:rsid w:val="00F47F9F"/>
    <w:rsid w:val="00F54A76"/>
    <w:rsid w:val="00F55B74"/>
    <w:rsid w:val="00F72890"/>
    <w:rsid w:val="00F75062"/>
    <w:rsid w:val="00F86176"/>
    <w:rsid w:val="00F93BF3"/>
    <w:rsid w:val="00F93C08"/>
    <w:rsid w:val="00FA70AA"/>
    <w:rsid w:val="00FD58D7"/>
    <w:rsid w:val="00FF7701"/>
    <w:rsid w:val="02656B18"/>
    <w:rsid w:val="051C6A47"/>
    <w:rsid w:val="077A3E2D"/>
    <w:rsid w:val="07A63DF9"/>
    <w:rsid w:val="09A90B64"/>
    <w:rsid w:val="0A64489B"/>
    <w:rsid w:val="0A726BCF"/>
    <w:rsid w:val="154E322A"/>
    <w:rsid w:val="15966B4B"/>
    <w:rsid w:val="19351C0F"/>
    <w:rsid w:val="1EBC0978"/>
    <w:rsid w:val="1F094816"/>
    <w:rsid w:val="203B2505"/>
    <w:rsid w:val="22DD3655"/>
    <w:rsid w:val="2580651A"/>
    <w:rsid w:val="28E279B2"/>
    <w:rsid w:val="30DE1913"/>
    <w:rsid w:val="37E262F1"/>
    <w:rsid w:val="3CB37D2A"/>
    <w:rsid w:val="3E9D5F46"/>
    <w:rsid w:val="435A7A2D"/>
    <w:rsid w:val="44CE5151"/>
    <w:rsid w:val="45AF05D2"/>
    <w:rsid w:val="461E5F97"/>
    <w:rsid w:val="473A5A66"/>
    <w:rsid w:val="47433A8B"/>
    <w:rsid w:val="4B3379EF"/>
    <w:rsid w:val="4B577043"/>
    <w:rsid w:val="4BA821A3"/>
    <w:rsid w:val="4C12521A"/>
    <w:rsid w:val="500959B2"/>
    <w:rsid w:val="519F2263"/>
    <w:rsid w:val="55436D76"/>
    <w:rsid w:val="56773E73"/>
    <w:rsid w:val="57D60797"/>
    <w:rsid w:val="583D6B43"/>
    <w:rsid w:val="593237D0"/>
    <w:rsid w:val="59495FC4"/>
    <w:rsid w:val="599505F2"/>
    <w:rsid w:val="5A925B36"/>
    <w:rsid w:val="5CFF237D"/>
    <w:rsid w:val="5F341FE6"/>
    <w:rsid w:val="60737941"/>
    <w:rsid w:val="64CC719D"/>
    <w:rsid w:val="68DF7FD2"/>
    <w:rsid w:val="6A390B6F"/>
    <w:rsid w:val="6CEB3CD6"/>
    <w:rsid w:val="6DD84013"/>
    <w:rsid w:val="703F0A84"/>
    <w:rsid w:val="70D34D1C"/>
    <w:rsid w:val="71B73CF3"/>
    <w:rsid w:val="71D16D4A"/>
    <w:rsid w:val="72316A9A"/>
    <w:rsid w:val="749C1F38"/>
    <w:rsid w:val="76FB771C"/>
    <w:rsid w:val="78C21C74"/>
    <w:rsid w:val="7B634579"/>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 w:type="character" w:customStyle="1" w:styleId="19">
    <w:name w:val="font81"/>
    <w:basedOn w:val="9"/>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8197</Words>
  <Characters>10206</Characters>
  <Lines>85</Lines>
  <Paragraphs>23</Paragraphs>
  <TotalTime>1</TotalTime>
  <ScaleCrop>false</ScaleCrop>
  <LinksUpToDate>false</LinksUpToDate>
  <CharactersWithSpaces>11510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王端阳</cp:lastModifiedBy>
  <dcterms:modified xsi:type="dcterms:W3CDTF">2022-06-30T08:10:23Z</dcterms:modified>
  <cp:revision>377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FC94237E10F044078AF0637D382B03BF</vt:lpwstr>
  </property>
</Properties>
</file>