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tbl>
      <w:tblPr>
        <w:tblStyle w:val="9"/>
        <w:tblW w:w="138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495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一、标准化考场巡查系统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间(包含2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考务室、1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保密室、1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监控中心）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高清半球摄像机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1）技术标准须满足教育部颁布的JY/T-KS-JS-2017-1《国家教育考试网上巡查系统视频标准技术规范》提供加盖生产企业公章的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2）1/3英寸200万像素CMOS；2.8mm定焦镜头，分辨率可达1920×1080，最大帧率≥25帧/秒,水平视角：广角≥93°； 最低照度：0.01Lux；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3）防水防尘等级IP66；防暴等级IK10；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4）电子彩转黑；支持红外功能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5）自动白平衡，自动增益，自动电子快门；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6）支持H.264视频编码标准，图像分辨率支持主码流1080P，子码流720P。并支持Program Stream系统流和Transition Stream传输流的封装；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7）支持图像翻转、镜像；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8）内置拾音器；提供加盖生产企业公章的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9）1路RJ45接口。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10）支持SD/SDHC/SDXC卡存储；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11）支持DC12V或AC24V或POE供电；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12）内置WEB服务器，可通过ＩＥ浏览器观看图像并实现报警，录像及摄像机前端设置等，操作方便，界面友好；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13）支持多种报警功能，移动侦测报警，Ｉ/Ｏ报警，磁盘报警，支持报警联动；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14）支持远程升级，一键恢复功能，操作简单；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15）支持多级用户管理，权限自定义，安全性高；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16）铝塑外壳，内部防雷防静电设计，可靠性高；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17）内部三轴结构，方便摄像机角度调节；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18）软硬件看门狗，故障自动恢复；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19）应符合GB35114-2017《公共安全视频监控联网 信息安全技术要求》标准,提供加盖生产企业公章的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20）采用国产品牌CPU，自主可控。提供加盖生产企业公章的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21）内置符合国密SM1/SM2/SM3/SM4算法的密码芯片。提供加盖生产企业公章的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22) 支持实时显示环境温度。提供加盖生产企业公章的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23)内置GPU芯片,焦距F1.2镜头,≥2路报警输入接 ☐、≥1路报警输出接☐、≥1路音频输入接☐、≥1路音频输出接☐、≥1个SD卡槽、≥I个RS-232接☐、≥1个硬件 复位按钮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24）投标文件中须提供加盖制造商鲜章的针对本产品的技术参数确认函。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网络存储设备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1.采用嵌入式设计，标准2U机箱，设备运行低噪环保；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2.符合《国家教育考试网上巡查系统技术规范标准》的协议规范；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3.支持32路网络高清音视频输入。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4.可接驳网络摄像机、网络快球；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5.支持600W像素高清网络视频的预览、存储与回放；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6.支持IPC配置管理；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7.支持HDMI输出；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8.支持一键开启录像功能；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9.支持冗余录像、假日录像和抓图计划配置；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10.图像预览与回放时，支持音量大小调节；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11.支持预览与回放界面实时截图功能；；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12.支持即时回放功能，在预览画面下对指定通道的当前录像进行回放；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13.支持同步回放及多路同步倒放；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14.支持标签定义、查询、回放录像文件；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15.支持重要录像文件加锁保护功能；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16.支持8个SATA接口，每个接口可接不小于10T硬盘，可用于录像和备份；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17.双千兆网卡，支持网络容错等应用；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18.符合JY/T-KS-JS-2017-1《国家教育考试网上巡查系统视频标准技术规范》。提供加盖生产企业公章的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19.应符合GB35114-2017《公共安全视频监控联网信息安全技术要求》标准。提供加盖生产企业公章的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20.采用国产品牌CPU，自主可控。提供加盖生产企业公章的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21.内置符合国密SM1/SM2/SM3/SM4算法的密码芯片。提供加盖生产企业公章的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22.设备具有唯一ID;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23.支持 UDP 单播，支持 TCP/IP、IPv4、IPv6、 HTTP、UPnP、 NTP、SNMP、PPPoE、DNS、 FTP、ONVIF、 SIP、RTP、RTCP、;GB35114 等网络协议;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24.可将不同网口设置同一IP地址，当1个网口损坏时，样机仍能正常工作；具有负载均衡功能；多址设定：可将网口设置不同网段的IP地址;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25.具有设备认证功能、防篡改功能及加密传输能力。支持添加数字水印，防止录像被篡改;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26.需能直接注册到学校现有SIP服务器（型号：HISOME-SIP7600TDF)，接受现有SIP服务器的指挥管理，通过学校现有SIP服务器管理软件实现录像查询、录像回放等功能。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27.投标文件中须提供加盖制造商鲜章的针对本产品的技术参数确认函。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数字视频矩阵画面分割器</w:t>
            </w:r>
          </w:p>
        </w:tc>
        <w:tc>
          <w:tcPr>
            <w:tcW w:w="9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1、采用嵌入式非INTEL X86设计，LINUX实时操作系统，提高系统抗病毒和抗攻击能力；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2、4路DVI或4路HDMI输出，支持多种输出方式选择；可使用多台设备；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3、复合画面输出分辨率支持支持4K、1080P、720P等输出分辨率；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4、具有HDMI或者DVI输入；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 支持 UDP 单播，支持 TCP/IP、IPv4、IPv6、 HTTP、UPnP、 NTP、SNMP、PPPoE、DNS、 FTP、ONVIF、 SIP、RTP、RTCP、、GB35114 等网络协议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6、画面分割显示功能。能够完成独立轮巡和组合轮巡、定点轮巡和定长轮巡。输出支持 4 画面、9 画面、16画面等画面分割模式。整机解码能力不低于输出接口数量*4；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7、符合JY/T-KS-JS-2017-1《国家教育考试网上巡查系统视频标准技术规范》技术要求。提供加盖生产企业公章的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8、视频为1080P格式下，支持4*1、4*4画面解码；视频为720P格式下，支持4*1、4*4、4*9画面解码；视频为4CIF（D1）格式下，支持4*1、4*4、4*9、4*16画面解码。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9.内置符合国密SM1/SM2/SM3/SM4算法的密码芯片。提供加盖生产企业公章的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10.高清升级支持H.264、H.265视频编码标准，图像分辨率应支持主码流1080P，子码流支持720P。支持G.711、AAC音频编码标准，并支持Program Stream系统流和Transition Stream传输流的封装。H.264的具体要求符合ISO/IEC14496-10高级视频编码AVC标准；H.265的具体要求符合ITU-T制定的视频编码HEVC标准；G.711的具体要求符合ITU-T G.711标准；AAC的具体要求符合ISO 14496-3 Audio标准；Program Stream系统流和Transition Stream传输流的封装标准应遵照ISO/IEC-13818-1(2000 版本)的具体规定。应兼容符合2007规范规定的MPEG4视频编码格式（Advanced Simple Profile不带B帧，不带GMC），MPEG Layer II音频编码标准。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11.SIP功能，支持 SIP 地址解析，信令转发支持用户权限 ；内置 SIP-UA,支持直接向 SIP 服务；支持 SIP 地址解析，信令转发。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12.设备具有唯一ID。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13.符合《公共安全视频监控联网信息安全技术要求》GB35114-2017标准。提供加盖生产企业公章的 CNAS检测报告复印件。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14.遵守《中华人民共和国密码法》，实现视频监控联网设备安全认证及对称密钥管理的信息安全，支持设备证书分发、查询、验证实施的途径、方法及权威性，及完成对称密钥管理等。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15.支持音视频同步输出。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9"/>
        <w:tblW w:w="127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95"/>
        <w:gridCol w:w="7785"/>
        <w:gridCol w:w="69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新增标准化考场巡查系统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功能简介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液晶拼接屏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55英寸液晶显示单元，采用工业级超窄边面板，双边拼缝仅为3.5mm，采用直下式LED背光源，显示单元亮度更加均匀，无边界暗影现象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工业级设计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使用寿命高于60000小时。具有丰富的接口，可接入DVI，VGA，HDMI等各种信号源。支持RS232串口控制、按键控制、红外遥控等多种控制方式。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8进8出视频矩阵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图像信号HDMI连接线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大屏控制器链接HDMI线材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电视墙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定制安装55英寸显示设备，按2行4列组合排列，安装在南面墙。电视墙上方设计安装电子滚动字幕屏。监控中心室内高度约3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中心交换机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1、交换容量≥750Gbps；包转发率≥120Mpps；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2、配置≥24个10/100/1000Base-T以太网端口，4个千兆SFP端口；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3、支持VxLAN二层网关、三层网关，支持BGP-EVPN；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4、支持MAC地址≥280k；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5、支持静态路由、RIP、RIPng、OSPF、OSPFv3、BGP、BGP4+、ISIS、ISISv6；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6、支持堆叠，主机堆叠数不小于9台；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7、支持纵向虚拟化，作为纵向子节点零配置即插即用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8、支持G.8032以太环保护协议。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汇聚交换机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产品类型：企业级交换机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应用层级：二层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背板带宽：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168Gbps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包转发率：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42Mpps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端口结构：非模块化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电源电压：额定电压范围：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100-240V A....&gt;&gt;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端口描述：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10/100/1000Base-T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....&gt;&gt;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电源功率：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34W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端接入交换机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24个10/100/1000BASE-T以太网端口,4个千兆SFP,PoE+,交流供电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交换容量336Gbps，包转发率42Mpps，机架式，POE功率380W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光模块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光模块-eSFP-GE-单模模块(1310nm,10km,LC)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(学校提供)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主控制台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四联主控台，美观大方，符合人体力学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（含椅子)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墙柜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12U 挂墙柜尺寸600*450*635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机柜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19" 42U 2m标准机柜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4TB SATAII 7200转 企业级硬盘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线缆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包含网线、电源线等安装线材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安装及辅助材料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包含PVC管等施工辅材，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工程教学楼一楼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桥架施工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主电接入(二路电源接入，大约长４０米)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监控中心装饰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架设防静电地板、墙面粉刷、吊顶、照明灯光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、电路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改造等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（设计好窗帘、空调安装位置及电源线安装到位，打好空调穿墙孔，学校自行安装窗帘、空调）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监控中心面积约3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平方米。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光纤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连接学校核心机房和监控中心大约长４０米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后选项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拆除原有楼栋桥架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里的线路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工程教学楼的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老旧设备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，共6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间。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color w:val="010101"/>
          <w:kern w:val="0"/>
          <w:sz w:val="24"/>
        </w:rPr>
      </w:pPr>
      <w:r>
        <w:rPr>
          <w:rFonts w:ascii="宋体" w:hAnsi="宋体" w:eastAsia="宋体" w:cs="宋体"/>
          <w:color w:val="010101"/>
          <w:kern w:val="0"/>
          <w:sz w:val="24"/>
        </w:rPr>
        <w:br w:type="page"/>
      </w:r>
    </w:p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</w:p>
    <w:tbl>
      <w:tblPr>
        <w:tblStyle w:val="9"/>
        <w:tblW w:w="12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75"/>
        <w:gridCol w:w="10290"/>
        <w:gridCol w:w="495"/>
        <w:gridCol w:w="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工程教学楼新增数字网络广播（定压备份）系统清单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功能简介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机房监听音箱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网络音箱（定压备份）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功能特点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10/100MRJ45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网络接口，支持局域网与广域网传输；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设有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路线路输入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方便用户对接其他信号；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路干接点输出（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信号）；控制外围设备；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路自定义干接点输入（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信号）接口，方便用户自定义选择，可选择一键报警、一键点播或自定义设置音乐欢迎光临等功能；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自带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2×20W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功放，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路外接定阻副音箱；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支持安卓手机等移动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APP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分控软件，支持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WIFI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实时操控点播、寻呼；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支持服务器远程管理，远程升级，方便用户维护。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支持定压备份功能，当电源故障时或者设备无任务时，能自动切换到模拟设备工作，例如：用于学校的考试系统等需要双备份的工作环境；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选配蓝牙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模块，可用手机推送到终端播放。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选配无线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USB2.4G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话筒模块，方便教学讲课。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选配离线打铃功能；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音箱采用壁挂式木材标准结构，造型美观大方。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输入电源：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DC24V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网络接口：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RJ45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传输速率：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100Mbps/10Mbps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支持协议：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TCP/IP,UDP,IGMP(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组播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音频格式：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MP3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音频模式：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位立体声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采样率：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48K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比特率：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768Kbps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9.AUX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灵敏度：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-12dB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功耗：＜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频率响应：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20Hz-20KHz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谐波失真：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THD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0.1%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信噪比：≥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70dB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短路输入：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0V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保护电路：过载、过温、短路保护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工作温度：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℃～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环境湿度：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相对湿度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外部尺寸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:280×150×190mm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6"/>
                <w:szCs w:val="16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接入交换机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产品类型：企业级交换机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应用层级：暂无数据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背板带宽：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48Gbps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包转发率：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35.7Mpps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电源电压：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100-240V AC;50/60Hz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端口结构：暂无数据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端口描述：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10/100/1000Base-T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....&gt;&gt;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电源功率：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13.9W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千兆汇聚交换机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产品类型：企业级交换机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应用层级：二层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背板带宽：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168Gbps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包转发率：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42Mpps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端口结构：非模块化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电源电压：额定电压范围：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100-240V A....&gt;&gt;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端口描述：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10/100/1000Base-T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....&gt;&gt;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电源功率：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34W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教室</w:t>
            </w:r>
            <w:r>
              <w:rPr>
                <w:rStyle w:val="31"/>
                <w:rFonts w:eastAsia="宋体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网络音箱（定压备份）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功能特点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10/100MRJ45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网络接口，支持局域网与广域网传输；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设有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路线路输入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方便用户对接其他信号；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路干接点输出（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信号）；控制外围设备；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路自定义干接点输入（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信号）接口，方便用户自定义选择，可选择一键报警、一键点播或自定义设置音乐欢迎光临等功能；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自带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2×20W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功放，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路外接定阻副音箱；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支持安卓手机等移动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APP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分控软件，支持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WIFI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实时操控点播、寻呼；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★支持服务器远程管理，远程升级，方便用户维护。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支持定压备份功能，当电源故障时或者设备无任务时，能自动切换到模拟设备工作，例如：用于学校的考试系统等需要双备份的工作环境；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选配蓝牙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模块，可用手机推送到终端播放。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选配无线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USB2.4G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话筒模块，方便教学讲课。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选配离线打铃功能；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音箱采用壁挂式木材标准结构，造型美观大方。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输入电源：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DC24V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网络接口：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RJ45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传输速率：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100Mbps/10Mbps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支持协议：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TCP/IP,UDP,IGMP(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组播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音频格式：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MP3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音频模式：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位立体声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采样率：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48K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比特率：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768Kbps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9.AUX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灵敏度：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-12dB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功耗：＜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频率响应：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20Hz-20KHz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谐波失真：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THD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0.1%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信噪比：≥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70dB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短路输入：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0V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保护电路：过载、过温、短路保护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工作温度：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℃～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环境湿度：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相对湿度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外部尺寸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:280×150×190mm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定阻音箱（网络音箱副箱）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功能特点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专业壁挂式设计，木质材料结构，吸塑工艺，密封隔音良好；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声音清晰明亮，壁挂式安装，简单方便；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适用于教室、商场、超市、走廊等室内场所。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额定功率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:20W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定阻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:8Ω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定阻输入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频率响应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:20Hz-18KHz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外部尺寸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:280×150×190mm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听力备份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6"/>
                <w:szCs w:val="16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电源时序器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1.采用数字化技术，可控制电源按顺序开启/关闭，保护电网不受冲击，设有安全锁供手动紧急控制；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2.最大支持~220V/6000W功率输入，分为10路国标电源接口输出，每路接口可承受~220V/3000W功率输出；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3.设有1路短路紧急接口输入，方便与其他设备连接使用；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4.2U标准机箱设计，铝合金面板，美观实用；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电源：AC220V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单路最大容量：3000KV.A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通讯协议：485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尺寸：485x340x88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前置放大器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功能特点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1.5路话筒输入，3路线路输入，2路紧急线路输入，2路线路输出功能；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2.话筒1和紧急线路具有最高优先，强行切入优先功能；话筒（MIC2、3、4、5）与线路（AUX1、2、3）同级,；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3.话筒和线路音量独立可调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4.设有高音和低音独立调节；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5.2U标准机箱设计，铝合金面板，美观实用；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1.MIC灵敏度：-40dB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2.AUX灵敏度：-12dB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3.Line out：0dB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4.频率响应：20-20KHz(≤±3dB)；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5.信噪比：≥75dB；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6.谐波失真：≤1%；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7.工作温度:5℃-45℃；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8.工作湿度：20%-80%相对湿度，无结露；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9.功耗：&lt;30W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10.电源电压：AC220V。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6"/>
                <w:szCs w:val="16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单通道纯后级数字功放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功能特点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采用国际极先进功率放大器，具有高效节能、重量轻、体积小、功率大、带载能力强等特点。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路平衡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×LR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输入，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路非平衡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RCA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输入，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路平衡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×LR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路非平衡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RCA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输出，可级联到下一级功放。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设有音量调节功能。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设有先进短路、过热、过载保护功能。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线路设有限幅功能，可预防功放输出过大保护喇叭。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支持多种指示灯显示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电源、信号、削峰、保护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LED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指示灯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采用风机强制散热结构，可以让机器长期时间工作。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具有市电波动保护功能，支持过压保护，欠压保护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输出额定功率：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2000W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定压输出：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100V±5%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AC220V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频响：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20KHz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线路非平衡输出：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0dB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信噪比：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&gt;85dB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效率：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&gt;90%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谐波失真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 THD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 1% (1/8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额定功率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工作湿度：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 20%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相对湿度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工作温度：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485×410×88mm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主备切换器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(4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功能特点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支持自动发现功放故障功能，并能在主功放和备用功放之间自动切换。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备功放，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路主功放输入，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路备用功放输入，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路功放输出。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路线路输入到设备，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路音频信号输出到主功放，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路备用音频输出到备用功放。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每路功放有工作指示功能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5.2U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标准机箱设计，铝合金面板，美观实用；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技术参数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输入功放：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备用功放：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线路输入：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线路输出：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备用线路输出：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工作温度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:5℃-45℃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工作湿度：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20%-80%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相对湿度，无结露；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功耗：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&lt;30W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电源电压：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AC220V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6"/>
                <w:szCs w:val="16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音频光端机器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用于广播系统整合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安装及其辅材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线缆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包含6类网线、电源线2*1.0，音响线等安装线材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66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辅助材料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包含PVC管，插座，五金配件等施工辅材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66 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其它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*须将原校方监控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广播接入监控中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心，并要求新建广播系统和原广播系统进行整合。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ＵＰＳ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选项报价，学校再决定是否采购。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额定容量： 10/15kVA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br w:type="textWrapping"/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额定电压： 220V/380V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br w:type="textWrapping"/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额定频率： 50/60Hz</w:t>
            </w:r>
          </w:p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后备时间：1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5-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0</w:t>
            </w:r>
            <w:r>
              <w:rPr>
                <w:rFonts w:hint="eastAsia" w:ascii="Arial" w:hAnsi="Arial" w:cs="Arial"/>
                <w:color w:val="333333"/>
                <w:sz w:val="20"/>
                <w:szCs w:val="20"/>
                <w:highlight w:val="none"/>
                <w:shd w:val="clear" w:color="auto" w:fill="FFFFFF"/>
              </w:rPr>
              <w:t>分钟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高输出PF</w:t>
            </w:r>
            <w:r>
              <w:rPr>
                <w:rFonts w:hint="eastAsia"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≥</w:t>
            </w:r>
            <w:r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0.9PF</w:t>
            </w:r>
            <w:r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br w:type="textWrapping"/>
            </w:r>
            <w:r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高功率密度，</w:t>
            </w:r>
            <w:r>
              <w:rPr>
                <w:rFonts w:hint="eastAsia"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能</w:t>
            </w:r>
            <w:r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带更多负载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0.99 input PF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Arial" w:hAnsi="Arial" w:cs="Arial" w:eastAsiaTheme="minorEastAsia"/>
                <w:b w:val="0"/>
                <w:bCs w:val="0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ascii="Arial" w:hAnsi="Arial" w:cs="Arial" w:eastAsiaTheme="minorEastAsia"/>
                <w:b w:val="0"/>
                <w:bCs w:val="0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输入谐波，THDi&lt;5%, 输出电压精度</w:t>
            </w:r>
            <w:r>
              <w:rPr>
                <w:rFonts w:hint="eastAsia" w:ascii="Arial" w:hAnsi="Arial" w:cs="Arial" w:eastAsiaTheme="minorEastAsia"/>
                <w:b w:val="0"/>
                <w:bCs w:val="0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±</w:t>
            </w:r>
            <w:r>
              <w:rPr>
                <w:rFonts w:ascii="Arial" w:hAnsi="Arial" w:cs="Arial" w:eastAsiaTheme="minorEastAsia"/>
                <w:b w:val="0"/>
                <w:bCs w:val="0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1%， 输出频率精度</w:t>
            </w:r>
            <w:r>
              <w:rPr>
                <w:rFonts w:hint="eastAsia" w:ascii="Arial" w:hAnsi="Arial" w:cs="Arial" w:eastAsiaTheme="minorEastAsia"/>
                <w:b w:val="0"/>
                <w:bCs w:val="0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±</w:t>
            </w:r>
            <w:r>
              <w:rPr>
                <w:rFonts w:ascii="Arial" w:hAnsi="Arial" w:cs="Arial" w:eastAsiaTheme="minorEastAsia"/>
                <w:b w:val="0"/>
                <w:bCs w:val="0"/>
                <w:color w:val="333333"/>
                <w:kern w:val="2"/>
                <w:sz w:val="20"/>
                <w:szCs w:val="20"/>
                <w:highlight w:val="none"/>
                <w:shd w:val="clear" w:color="auto" w:fill="FFFFFF"/>
              </w:rPr>
              <w:t>0.1%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台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135" w:right="1474" w:bottom="56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ZjY3ZmMzMzAxMGQ2YTVjZmE0ZTA2MjIyMjYxN2Q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566E8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251F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74280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1E79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BF5564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1331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2A74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7262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E1E54"/>
    <w:rsid w:val="00FF7701"/>
    <w:rsid w:val="02656B18"/>
    <w:rsid w:val="051C6A47"/>
    <w:rsid w:val="062E6392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86828DC"/>
    <w:rsid w:val="3BE422BA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BB3C657"/>
    <w:rsid w:val="4C12521A"/>
    <w:rsid w:val="4D257B59"/>
    <w:rsid w:val="4DB6C3D3"/>
    <w:rsid w:val="4F9F9F3D"/>
    <w:rsid w:val="500959B2"/>
    <w:rsid w:val="519F2263"/>
    <w:rsid w:val="536772C2"/>
    <w:rsid w:val="55436D76"/>
    <w:rsid w:val="55FFB375"/>
    <w:rsid w:val="56773E73"/>
    <w:rsid w:val="577799BB"/>
    <w:rsid w:val="583D6B43"/>
    <w:rsid w:val="593237D0"/>
    <w:rsid w:val="59495FC4"/>
    <w:rsid w:val="594C6F24"/>
    <w:rsid w:val="5965057E"/>
    <w:rsid w:val="599505F2"/>
    <w:rsid w:val="5A925B36"/>
    <w:rsid w:val="5CFF237D"/>
    <w:rsid w:val="5E7F44DE"/>
    <w:rsid w:val="5F341FE6"/>
    <w:rsid w:val="60737941"/>
    <w:rsid w:val="64CC719D"/>
    <w:rsid w:val="68DF7FD2"/>
    <w:rsid w:val="69DD1091"/>
    <w:rsid w:val="6A390B6F"/>
    <w:rsid w:val="6AFEC5DC"/>
    <w:rsid w:val="6CEB3CD6"/>
    <w:rsid w:val="6DD84013"/>
    <w:rsid w:val="703F0A84"/>
    <w:rsid w:val="70D34D1C"/>
    <w:rsid w:val="71B73CF3"/>
    <w:rsid w:val="71D16D4A"/>
    <w:rsid w:val="72316A9A"/>
    <w:rsid w:val="749C1F38"/>
    <w:rsid w:val="75B76C57"/>
    <w:rsid w:val="76FB771C"/>
    <w:rsid w:val="77DF16FC"/>
    <w:rsid w:val="78C21C74"/>
    <w:rsid w:val="7B634579"/>
    <w:rsid w:val="7C4314D9"/>
    <w:rsid w:val="7DF343CB"/>
    <w:rsid w:val="7EFB0446"/>
    <w:rsid w:val="7FBF3756"/>
    <w:rsid w:val="7FF0EE38"/>
    <w:rsid w:val="7FFEFF6A"/>
    <w:rsid w:val="8B779F25"/>
    <w:rsid w:val="BFFF8090"/>
    <w:rsid w:val="CBDF2DD2"/>
    <w:rsid w:val="E7EE93F3"/>
    <w:rsid w:val="EBFE15CE"/>
    <w:rsid w:val="EFFBE4E6"/>
    <w:rsid w:val="FEB59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8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9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20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8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212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12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1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8">
    <w:name w:val="font14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9">
    <w:name w:val="font9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1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1">
    <w:name w:val="font13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32">
    <w:name w:val="标题 1 字符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3">
    <w:name w:val="title-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6964</Words>
  <Characters>8800</Characters>
  <Lines>66</Lines>
  <Paragraphs>18</Paragraphs>
  <TotalTime>1167</TotalTime>
  <ScaleCrop>false</ScaleCrop>
  <LinksUpToDate>false</LinksUpToDate>
  <CharactersWithSpaces>8906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2020-07-15T18:38:00Z</dcterms:created>
  <dc:creator>蛋蛋君丶</dc:creator>
  <cp:lastModifiedBy>杨鸽</cp:lastModifiedBy>
  <dcterms:modified xsi:type="dcterms:W3CDTF">2022-07-15T05:43:06Z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1C7EE5AA3A8142C7BD6B8445F0A388BE</vt:lpwstr>
  </property>
</Properties>
</file>