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bookmarkStart w:id="0" w:name="_GoBack"/>
      <w:bookmarkEnd w:id="0"/>
    </w:p>
    <w:p>
      <w:pPr>
        <w:rPr>
          <w:rFonts w:hint="eastAsia" w:ascii="黑体" w:hAnsi="黑体" w:eastAsia="黑体" w:cs="黑体"/>
          <w:b w:val="0"/>
          <w:bCs/>
          <w:sz w:val="32"/>
          <w:szCs w:val="32"/>
        </w:rPr>
      </w:pPr>
      <w:r>
        <w:rPr>
          <w:rFonts w:hint="eastAsia" w:ascii="黑体" w:hAnsi="黑体" w:eastAsia="黑体" w:cs="黑体"/>
          <w:b w:val="0"/>
          <w:bCs/>
          <w:sz w:val="32"/>
          <w:szCs w:val="32"/>
        </w:rPr>
        <w:t>附件一:</w:t>
      </w:r>
    </w:p>
    <w:tbl>
      <w:tblPr>
        <w:tblStyle w:val="10"/>
        <w:tblW w:w="12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2350"/>
        <w:gridCol w:w="750"/>
        <w:gridCol w:w="750"/>
        <w:gridCol w:w="6834"/>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招标参数</w:t>
            </w:r>
          </w:p>
        </w:tc>
        <w:tc>
          <w:tcPr>
            <w:tcW w:w="142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一整套电动吸痰吸引器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电机功率 120VA</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抽气速率 &gt;20L/min</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极限负压值 &gt;0.09Mpa</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负压调节范围 0.02Mpa至极限负压值</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吸引泵 活塞泵 </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噪声 &lt;60dB(A)</w:t>
            </w:r>
          </w:p>
        </w:tc>
        <w:tc>
          <w:tcPr>
            <w:tcW w:w="1423" w:type="dxa"/>
            <w:tcBorders>
              <w:top w:val="nil"/>
              <w:left w:val="nil"/>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电子化肌内注射模型，高级臀部注射训练（带警示系统）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医训高级臀部肌肉注射及透明对比模型臀部肌肉组织骨骼结构神经血管系统电子报警声提示</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半边透明的设计展示臀部的肌肉组织、骨骼结构、神经血管系统。有利于在训练时进行对比，防止扎到神经和血管。</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骨骼标志能够被触及，保证确定正确的注射部位。</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注射操作正确和进针位置正确，则有绿色灯光显示;扎入过深或注射部位不正确，</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则有红色灯光闪烁和电子报警声提示，</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皮肤材料采用进口塑胶弹性体材料，经不锈钢磨具高温浇注而成，手感质地真实，经久耐用，进针痕迹不明显。</w:t>
            </w:r>
          </w:p>
        </w:tc>
        <w:tc>
          <w:tcPr>
            <w:tcW w:w="1423" w:type="dxa"/>
            <w:tcBorders>
              <w:top w:val="nil"/>
              <w:left w:val="nil"/>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打印机（复印加扫描）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一体机功能 无线连接，A4 打印，复印，扫描打印</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423" w:type="dxa"/>
            <w:tcBorders>
              <w:top w:val="nil"/>
              <w:left w:val="nil"/>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静脉穿刺手臂模型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1.手臂上分布的八条主要静脉血管系统，可进行静脉的注射、输液(血)、抽血等穿刺训练功能</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2.进针有明显的落空感，正确穿刺有回血产生。</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3.静脉血管和皮肤的同一穿刺部位可以经受几百次反复穿刺不渗漏</w:t>
            </w:r>
          </w:p>
        </w:tc>
        <w:tc>
          <w:tcPr>
            <w:tcW w:w="1423" w:type="dxa"/>
            <w:tcBorders>
              <w:top w:val="nil"/>
              <w:left w:val="nil"/>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氧气筒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40L工业氧气筒</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高度130cm，直径22cm，规格40升，重量50kg，壁厚5mm</w:t>
            </w:r>
          </w:p>
        </w:tc>
        <w:tc>
          <w:tcPr>
            <w:tcW w:w="1423" w:type="dxa"/>
            <w:tcBorders>
              <w:top w:val="nil"/>
              <w:left w:val="nil"/>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感应出液器(外科洗手用)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产品名称:感应泡沫洗手机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瓶身容量:450ML 产品尺寸:75x200mm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产品工艺:ABS材质亮面 额定电压:DC3.7V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续航时间:2-3个月 感应距离:约3-5cm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适用液体:洗手液洗洁精沐浴露洗发水洗衣液等放置方式:台置搭配支架可壁挂开关方式: 触屏开关</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出液档位:2档出液量可调节(按一下一档、二档键切换档位)</w:t>
            </w:r>
          </w:p>
        </w:tc>
        <w:tc>
          <w:tcPr>
            <w:tcW w:w="1423" w:type="dxa"/>
            <w:tcBorders>
              <w:top w:val="nil"/>
              <w:left w:val="nil"/>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胸腔闭式引流模型+胸腔闭式引流瓶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胸腔闭式引流模型</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产品功能:可进行胸部创伤后气胸和液胸的闭式引流操作训练以及引流管的术后护理练习。</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右侧胸廓有两个视窗，用来显示胸腔各层的解剖结构。</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左侧胸廓可进行气胸穿刺减压及液胸插管引流练习。·胸部引流液颜色，体积及粘度可自行调节。</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胸腔闭式引流瓶</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单腔型：引流管、挂钩、加液漏斗、水封腔、水位线、水封管、旋盖</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双腔型：引流盖、连通管、旋盖、积液腔、水封管、水封腔、加液漏斗、挂钩</w:t>
            </w:r>
          </w:p>
        </w:tc>
        <w:tc>
          <w:tcPr>
            <w:tcW w:w="1423" w:type="dxa"/>
            <w:tcBorders>
              <w:top w:val="nil"/>
              <w:left w:val="nil"/>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尿液分析仪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1.检测原理：试纸：反射光电比色法    比重：折射计法</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浊度：散射法            颜色：RGB三原色法</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2.检测波长：720nm、620nm、570nm、550nm、470nm</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3.检测系统：采用CIS图像传感器检测系统</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4.适配试纸：优利特品牌系列的适配尿试纸条（可供选择的试纸类型已由制造商在仪器出厂前设定好）</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5.尿液要求量：至少2mL</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6.测试速度：最快可达300样本/小时</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7.试管架进样机构最大容量：26个试管架，260个样本</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8.单个试管架一次容纳的样本：10个样本</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9.单次最大试纸填充量：400条</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10.废料盒容量：能容纳500条废弃试纸条</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11.显示器：8英寸触摸式彩色液晶显示屏</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12.输入输出端口：鼠标接口、键盘接口、串口、并口、局域网接口、USB接口</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13.打印机：内置热敏打印机，可外接并口或USB打印机</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14.数据存储量：存储容量30万个数据</w:t>
            </w:r>
          </w:p>
        </w:tc>
        <w:tc>
          <w:tcPr>
            <w:tcW w:w="1423" w:type="dxa"/>
            <w:tcBorders>
              <w:top w:val="nil"/>
              <w:left w:val="nil"/>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血糖仪＋试纸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检测范围 1.1-33.3mmol/L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血样类型 新鲜毛细血管全血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血样量 1μL(微升)</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记忆组数  250组测量结果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检测时间 &lt;10s</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校正标准 血浆校正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电池寿命</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2节7号电池背光能测量约1000次</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产品展示 试纸可分开购买</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血糖试纸产品参数</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测试时间:10±1秒 需用血量:约0.6ul(微升)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测试温度:10℃-35℃ 调码类型:智能免调码 </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测试范围:1.1~33.3mmol/L 记忆容量:200组</w:t>
            </w:r>
          </w:p>
        </w:tc>
        <w:tc>
          <w:tcPr>
            <w:tcW w:w="1423" w:type="dxa"/>
            <w:tcBorders>
              <w:top w:val="nil"/>
              <w:left w:val="nil"/>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心电监护仪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1.一体化多参数监护仪，具备心电、呼吸、无创血压、血氧饱和度、脉率和双通道体温监测功能，产品具备国家食品药品监督管理局颁发的Ⅲ类医疗器械注册证。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2.支持选配可即插即用呼气末二氧化碳（EtCO2）的伟康旁流/主流呼气末二氧化碳,无需用户设置，软件自动识别和加载应用。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3.支持选配同品牌呼末二氧化碳（EtCO2）。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4.支持选配有创血压（IBP），支持CVP、ART、PA、PAWP测量。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二、显示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1.屏幕尺寸：≥8英寸彩色显示屏，分辨率：800×600。支持同屏显示11道波形，以同时观察丰富的信息。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2.主界面上支持自定义快捷键操作，且可根据不同医护人员使用习惯，调整快捷键数量和顺序，提高科室工作效率，须在投标文件中提供机器实物图片直观证明。</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3.支持待机模式、夜间模式、演示模式、隐私模式、插管模式、NFC模式等</w:t>
            </w:r>
          </w:p>
        </w:tc>
        <w:tc>
          <w:tcPr>
            <w:tcW w:w="1423" w:type="dxa"/>
            <w:tcBorders>
              <w:top w:val="nil"/>
              <w:left w:val="nil"/>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心电图机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ECG输入通道：标准12导联心电信号同步采集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导联选择：手动/自动可选,（支持Nehb、Cabrera导联体系）</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输入阻抗：≥100MΩ（10Hz）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频率响应：0.01Hz ~ 450Hz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定标电压：1mV±1%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耐极化电压：≥±880mV（±5%）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内部噪声：≤12.5µVp-p</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时间常数：≥5 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共模抑制比：≥140dB（AC滤波开启）；≥123dB（AC滤波关闭）</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输入电流：≤0.01μA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除颤保护：具有抗除颤电击保护功能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导联线：导联线内附抗除颤电击保护功能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中文输入及中文操作提示和中文报告语言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三、波形处理：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A/D转换：24bit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采样率：40kHz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灵敏度选择：1.25、2.5、5、10、20、10/5、自动（AGC）mm/mV ±5%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抗干扰滤波：具有交流滤波、肌电滤波、基线漂移滤波、低通滤波功能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自动分析功能：具有12导联同步自动分析以及RR分析功能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自诊断功能：具有设备自诊断及故障提示功能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四、存储器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设备内置存储器，存储病历800例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数据可通过SD卡、USB口导入导出,外接U盘和SD卡可扩展存储空间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 显示器：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7英寸彩色液晶显示屏（可选配触摸屏），倾斜角设计，支持显示背景网格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显示信息：同屏显示12导同步心电波形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显示内容应包含波形、心率、导联、走纸速度、增益、滤波器、时间、电池电量指示、输入法、文件、信息提示区、中文患者信息等</w:t>
            </w:r>
          </w:p>
        </w:tc>
        <w:tc>
          <w:tcPr>
            <w:tcW w:w="1423" w:type="dxa"/>
            <w:tcBorders>
              <w:top w:val="nil"/>
              <w:left w:val="nil"/>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B/彩超机（落地式彩超 人用比超机 胎心仪胎语仪高清超声仪器体检）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扫描方式:凸阵、线阵、微凸动态范围:64-192dB</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显示模式;B、B+B、4B、B+M、M</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电影回放:≥256帧，可连续回放或逐幅查看</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显示器:12英寸LED医用显示器</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高清晰度</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测量: 体标≥40种</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专业软件包:妇产科、腹部、小器官等</w:t>
            </w:r>
          </w:p>
        </w:tc>
        <w:tc>
          <w:tcPr>
            <w:tcW w:w="1423" w:type="dxa"/>
            <w:tcBorders>
              <w:top w:val="nil"/>
              <w:left w:val="nil"/>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3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生化分析仪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1.仪器类型：（全自动）随机任选（分立式）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2.测试方法：终点法、固定时间法（两点法）、动力学法（速率法）、单/双波长法、单/双试剂、比浊法、免疫比浊法，多标准等方法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3.测试速度：400测试/小时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4.定标：一点定标、多点定标，线性/非线性多点定标；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5.数据处理：计算参数、空白值校正、定义正常值范围、测试结果存储、查询、打印质控图、全过程反应曲线监测、编辑结果报告；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6.样本系统：96个样品位，含标准、质控、急诊位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7.试剂系统：试剂开放情况：试剂通道全开放；试剂位：80个，24小时持续冷藏；2个试剂盘，分为R1试剂盘，R2试剂盘分别存放R1试剂/单试剂；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8.反应系统：反应位：90个（可拆卸），自动清洗、重复使用；分析项目：在线分析生化检测≥40项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9.检测方式：光栅式后分光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10.产品性能指标： 1）交叉污染率：≤0.05%；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11.清洗：涌泉式内去离子水外壁清洗，检测杯自动八段冲洗，耗水量≤15升/小时，比色杯自动干燥，吸样针具有堵针检测与自动清洗功能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12.仪器的制冷系统是水冷制冷系统，制冷效果稳定；水路为负压式，出水速度恒定。</w:t>
            </w:r>
          </w:p>
        </w:tc>
        <w:tc>
          <w:tcPr>
            <w:tcW w:w="1423" w:type="dxa"/>
            <w:tcBorders>
              <w:top w:val="nil"/>
              <w:left w:val="nil"/>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3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血细胞分析仪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参 数 ≥23项(含三个彩色直方图)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工作环境 环境温度:15℃~35℃ 相对湿度:45%~85%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测量原理 RBC和WBC双通道细胞技术电阻抗法，HGB比色法，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测试速度 ≥60样本/小时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显示屏 微8.4寸彩色大屏幕800*600点阵TFT触摸屏，所有参数和百方图同屏显示，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可测试静脉全血和预稀释末稍血 静脉血9.7uL;预稀释末稍血20uL。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仪器主要采样定量和采样部件如 注射器、采样机构丝杠、齿轮、等采用玻璃、不锈 </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钢、陶瓷等耐磨材料制作。</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试剂每套500人份 稀释液20L、多酶清洁液500ml、溶血剂500ml </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热敏打印纸规格 宽57mm</w:t>
            </w:r>
          </w:p>
        </w:tc>
        <w:tc>
          <w:tcPr>
            <w:tcW w:w="1423" w:type="dxa"/>
            <w:tcBorders>
              <w:top w:val="nil"/>
              <w:left w:val="nil"/>
              <w:bottom w:val="nil"/>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3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台式电脑（HP）</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惠普（HP）8TE01台式机电脑主机，i7-12700F单主机+27英才显示器16G 256G 1T RX550 4G定制</w:t>
            </w:r>
          </w:p>
        </w:tc>
        <w:tc>
          <w:tcPr>
            <w:tcW w:w="1423" w:type="dxa"/>
            <w:tcBorders>
              <w:top w:val="nil"/>
              <w:left w:val="nil"/>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r>
    </w:tbl>
    <w:p>
      <w:pPr>
        <w:rPr>
          <w:rFonts w:hint="eastAsia" w:ascii="黑体" w:hAnsi="黑体" w:eastAsia="黑体" w:cs="黑体"/>
          <w:b w:val="0"/>
          <w:bCs/>
          <w:sz w:val="32"/>
          <w:szCs w:val="32"/>
        </w:rPr>
      </w:pPr>
    </w:p>
    <w:p>
      <w:pPr>
        <w:widowControl/>
        <w:shd w:val="clear" w:color="auto" w:fill="FFFFFF"/>
        <w:spacing w:line="450" w:lineRule="atLeast"/>
        <w:ind w:firstLine="420"/>
        <w:jc w:val="left"/>
        <w:rPr>
          <w:rFonts w:ascii="微软雅黑" w:hAnsi="微软雅黑" w:eastAsia="微软雅黑" w:cs="宋体"/>
          <w:color w:val="010101"/>
          <w:kern w:val="0"/>
          <w:sz w:val="24"/>
        </w:rPr>
      </w:pPr>
      <w:r>
        <w:rPr>
          <w:rFonts w:hint="eastAsia" w:ascii="宋体" w:hAnsi="宋体" w:eastAsia="宋体" w:cs="宋体"/>
          <w:color w:val="010101"/>
          <w:kern w:val="0"/>
          <w:sz w:val="24"/>
        </w:rPr>
        <w:t xml:space="preserve">  </w:t>
      </w:r>
    </w:p>
    <w:p>
      <w:pPr>
        <w:rPr>
          <w:rFonts w:ascii="微软雅黑" w:hAnsi="微软雅黑" w:eastAsia="微软雅黑" w:cs="宋体"/>
          <w:color w:val="010101"/>
          <w:kern w:val="0"/>
          <w:sz w:val="24"/>
        </w:rPr>
      </w:pPr>
    </w:p>
    <w:p>
      <w:pPr>
        <w:rPr>
          <w:rFonts w:ascii="微软雅黑" w:hAnsi="微软雅黑" w:eastAsia="微软雅黑" w:cs="宋体"/>
          <w:color w:val="010101"/>
          <w:kern w:val="0"/>
          <w:sz w:val="24"/>
        </w:rPr>
      </w:pPr>
    </w:p>
    <w:p>
      <w:pPr>
        <w:rPr>
          <w:rFonts w:ascii="微软雅黑" w:hAnsi="微软雅黑" w:eastAsia="微软雅黑" w:cs="宋体"/>
          <w:color w:val="010101"/>
          <w:kern w:val="0"/>
          <w:sz w:val="24"/>
        </w:rPr>
      </w:pPr>
    </w:p>
    <w:p>
      <w:pPr>
        <w:rPr>
          <w:rFonts w:ascii="微软雅黑" w:hAnsi="微软雅黑" w:eastAsia="微软雅黑" w:cs="宋体"/>
          <w:color w:val="010101"/>
          <w:kern w:val="0"/>
          <w:sz w:val="24"/>
        </w:rPr>
      </w:pPr>
    </w:p>
    <w:p>
      <w:pPr>
        <w:rPr>
          <w:rFonts w:hint="eastAsia"/>
          <w:sz w:val="28"/>
          <w:szCs w:val="28"/>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MjI2ZTJlOTQ2NGMxMjFkMDhlZTgwZDgzODdjNzEifQ=="/>
  </w:docVars>
  <w:rsids>
    <w:rsidRoot w:val="749C1F38"/>
    <w:rsid w:val="00002DF8"/>
    <w:rsid w:val="00006E72"/>
    <w:rsid w:val="000200DB"/>
    <w:rsid w:val="0003786F"/>
    <w:rsid w:val="00056E24"/>
    <w:rsid w:val="00070D52"/>
    <w:rsid w:val="0008719C"/>
    <w:rsid w:val="000A48FC"/>
    <w:rsid w:val="000A7145"/>
    <w:rsid w:val="000B0375"/>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6D62"/>
    <w:rsid w:val="00187258"/>
    <w:rsid w:val="001941F0"/>
    <w:rsid w:val="00194A07"/>
    <w:rsid w:val="001A23F3"/>
    <w:rsid w:val="001B404A"/>
    <w:rsid w:val="001D4A1A"/>
    <w:rsid w:val="001D6860"/>
    <w:rsid w:val="001E2301"/>
    <w:rsid w:val="001F004F"/>
    <w:rsid w:val="001F186A"/>
    <w:rsid w:val="001F2B15"/>
    <w:rsid w:val="001F635C"/>
    <w:rsid w:val="00200E99"/>
    <w:rsid w:val="00204678"/>
    <w:rsid w:val="0020568F"/>
    <w:rsid w:val="00205A2C"/>
    <w:rsid w:val="00207FEC"/>
    <w:rsid w:val="002200CF"/>
    <w:rsid w:val="00227EA5"/>
    <w:rsid w:val="002403D8"/>
    <w:rsid w:val="00245CE2"/>
    <w:rsid w:val="00251752"/>
    <w:rsid w:val="0025451B"/>
    <w:rsid w:val="00264B39"/>
    <w:rsid w:val="002729A0"/>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90941"/>
    <w:rsid w:val="003A3A72"/>
    <w:rsid w:val="003C0D3D"/>
    <w:rsid w:val="003C7391"/>
    <w:rsid w:val="003C7501"/>
    <w:rsid w:val="003D0EF5"/>
    <w:rsid w:val="003E64E3"/>
    <w:rsid w:val="003E775C"/>
    <w:rsid w:val="003F5245"/>
    <w:rsid w:val="004006B0"/>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B2A5A"/>
    <w:rsid w:val="006B3E08"/>
    <w:rsid w:val="006B4528"/>
    <w:rsid w:val="006B7C16"/>
    <w:rsid w:val="006C000F"/>
    <w:rsid w:val="006C2F5A"/>
    <w:rsid w:val="006C35D8"/>
    <w:rsid w:val="006D5C1C"/>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801328"/>
    <w:rsid w:val="0080430C"/>
    <w:rsid w:val="008068FF"/>
    <w:rsid w:val="008158CD"/>
    <w:rsid w:val="00831398"/>
    <w:rsid w:val="00832960"/>
    <w:rsid w:val="00845B80"/>
    <w:rsid w:val="0085128F"/>
    <w:rsid w:val="00862E62"/>
    <w:rsid w:val="00863C16"/>
    <w:rsid w:val="008651D5"/>
    <w:rsid w:val="008730B1"/>
    <w:rsid w:val="00882E84"/>
    <w:rsid w:val="0089145C"/>
    <w:rsid w:val="008914FE"/>
    <w:rsid w:val="008B72DA"/>
    <w:rsid w:val="008C13F7"/>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F36DE"/>
    <w:rsid w:val="00CF7C52"/>
    <w:rsid w:val="00D145BF"/>
    <w:rsid w:val="00D23C32"/>
    <w:rsid w:val="00D33856"/>
    <w:rsid w:val="00D3487D"/>
    <w:rsid w:val="00D4347D"/>
    <w:rsid w:val="00D534CB"/>
    <w:rsid w:val="00D55532"/>
    <w:rsid w:val="00D6599F"/>
    <w:rsid w:val="00D70389"/>
    <w:rsid w:val="00D82532"/>
    <w:rsid w:val="00D833D5"/>
    <w:rsid w:val="00D901D9"/>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E0E12"/>
    <w:rsid w:val="00EE3DF1"/>
    <w:rsid w:val="00EE6B0B"/>
    <w:rsid w:val="00EF0BDC"/>
    <w:rsid w:val="00EF3C79"/>
    <w:rsid w:val="00EF5722"/>
    <w:rsid w:val="00F027A8"/>
    <w:rsid w:val="00F07299"/>
    <w:rsid w:val="00F11AA7"/>
    <w:rsid w:val="00F14AED"/>
    <w:rsid w:val="00F17C86"/>
    <w:rsid w:val="00F23E7E"/>
    <w:rsid w:val="00F25AF0"/>
    <w:rsid w:val="00F32B0B"/>
    <w:rsid w:val="00F340CA"/>
    <w:rsid w:val="00F34F9B"/>
    <w:rsid w:val="00F47F9F"/>
    <w:rsid w:val="00F54A76"/>
    <w:rsid w:val="00F55B74"/>
    <w:rsid w:val="00F72890"/>
    <w:rsid w:val="00F75062"/>
    <w:rsid w:val="00F86176"/>
    <w:rsid w:val="00F93BF3"/>
    <w:rsid w:val="00F93C08"/>
    <w:rsid w:val="00FA70AA"/>
    <w:rsid w:val="00FD58D7"/>
    <w:rsid w:val="00FF7701"/>
    <w:rsid w:val="02656B18"/>
    <w:rsid w:val="051C6A47"/>
    <w:rsid w:val="09A90B64"/>
    <w:rsid w:val="0A64489B"/>
    <w:rsid w:val="0A726BCF"/>
    <w:rsid w:val="154E322A"/>
    <w:rsid w:val="15966B4B"/>
    <w:rsid w:val="19351C0F"/>
    <w:rsid w:val="1EBC0978"/>
    <w:rsid w:val="1F094816"/>
    <w:rsid w:val="203B2505"/>
    <w:rsid w:val="22037BDD"/>
    <w:rsid w:val="22DD3655"/>
    <w:rsid w:val="2580651A"/>
    <w:rsid w:val="28E279B2"/>
    <w:rsid w:val="2BC54A2E"/>
    <w:rsid w:val="30DE1913"/>
    <w:rsid w:val="37E262F1"/>
    <w:rsid w:val="3CB37D2A"/>
    <w:rsid w:val="3CF57FE5"/>
    <w:rsid w:val="3E9D5F46"/>
    <w:rsid w:val="435A7A2D"/>
    <w:rsid w:val="44CE5151"/>
    <w:rsid w:val="45AF05D2"/>
    <w:rsid w:val="461E5F97"/>
    <w:rsid w:val="46B67F3F"/>
    <w:rsid w:val="473A5A66"/>
    <w:rsid w:val="47433A8B"/>
    <w:rsid w:val="4B3379EF"/>
    <w:rsid w:val="4BA821A3"/>
    <w:rsid w:val="4C12521A"/>
    <w:rsid w:val="500959B2"/>
    <w:rsid w:val="519F2263"/>
    <w:rsid w:val="55436D76"/>
    <w:rsid w:val="56773E73"/>
    <w:rsid w:val="583D6B43"/>
    <w:rsid w:val="593237D0"/>
    <w:rsid w:val="59495FC4"/>
    <w:rsid w:val="599505F2"/>
    <w:rsid w:val="5A925B36"/>
    <w:rsid w:val="5CFF237D"/>
    <w:rsid w:val="5F341FE6"/>
    <w:rsid w:val="60737941"/>
    <w:rsid w:val="64CC719D"/>
    <w:rsid w:val="65696489"/>
    <w:rsid w:val="68DF7FD2"/>
    <w:rsid w:val="69046326"/>
    <w:rsid w:val="6A390B6F"/>
    <w:rsid w:val="6CEB3CD6"/>
    <w:rsid w:val="6DD84013"/>
    <w:rsid w:val="703F0A84"/>
    <w:rsid w:val="70D34D1C"/>
    <w:rsid w:val="71B73CF3"/>
    <w:rsid w:val="71D16D4A"/>
    <w:rsid w:val="72316A9A"/>
    <w:rsid w:val="749C1F38"/>
    <w:rsid w:val="76FB771C"/>
    <w:rsid w:val="78C21C74"/>
    <w:rsid w:val="7B634579"/>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unhideWhenUsed/>
    <w:qFormat/>
    <w:uiPriority w:val="0"/>
    <w:pPr>
      <w:keepNext/>
      <w:keepLines/>
      <w:spacing w:line="360" w:lineRule="auto"/>
      <w:jc w:val="center"/>
      <w:outlineLvl w:val="1"/>
    </w:pPr>
    <w:rPr>
      <w:rFonts w:ascii="Arial" w:hAnsi="Arial"/>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2"/>
    <w:basedOn w:val="1"/>
    <w:next w:val="1"/>
    <w:qFormat/>
    <w:uiPriority w:val="0"/>
    <w:pPr>
      <w:ind w:left="420" w:leftChars="200"/>
    </w:pPr>
  </w:style>
  <w:style w:type="paragraph" w:styleId="4">
    <w:name w:val="Body Text Indent"/>
    <w:basedOn w:val="1"/>
    <w:semiHidden/>
    <w:unhideWhenUsed/>
    <w:qFormat/>
    <w:uiPriority w:val="99"/>
    <w:pPr>
      <w:spacing w:after="120"/>
      <w:ind w:left="420" w:leftChars="200"/>
    </w:pPr>
  </w:style>
  <w:style w:type="paragraph" w:styleId="5">
    <w:name w:val="footer"/>
    <w:basedOn w:val="1"/>
    <w:link w:val="21"/>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8">
    <w:name w:val="Normal (Web)"/>
    <w:basedOn w:val="1"/>
    <w:qFormat/>
    <w:uiPriority w:val="0"/>
    <w:pPr>
      <w:widowControl/>
      <w:ind w:firstLine="360"/>
      <w:jc w:val="left"/>
    </w:pPr>
    <w:rPr>
      <w:rFonts w:ascii="宋体" w:hAnsi="宋体" w:cs="宋体"/>
      <w:kern w:val="0"/>
      <w:sz w:val="24"/>
    </w:rPr>
  </w:style>
  <w:style w:type="paragraph" w:styleId="9">
    <w:name w:val="Body Text First Indent 2"/>
    <w:basedOn w:val="4"/>
    <w:next w:val="1"/>
    <w:unhideWhenUsed/>
    <w:qFormat/>
    <w:uiPriority w:val="99"/>
    <w:pPr>
      <w:spacing w:before="100" w:beforeAutospacing="1"/>
      <w:ind w:firstLine="420" w:firstLineChars="200"/>
    </w:pPr>
    <w:rPr>
      <w:rFonts w:ascii="Calibri" w:hAnsi="Calibri" w:eastAsia="宋体" w:cs="Times New Roman"/>
      <w:szCs w:val="21"/>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font31"/>
    <w:basedOn w:val="12"/>
    <w:qFormat/>
    <w:uiPriority w:val="0"/>
    <w:rPr>
      <w:rFonts w:hint="default" w:ascii="Times New Roman" w:hAnsi="Times New Roman" w:cs="Times New Roman"/>
      <w:color w:val="000000"/>
      <w:sz w:val="20"/>
      <w:szCs w:val="20"/>
      <w:u w:val="none"/>
    </w:rPr>
  </w:style>
  <w:style w:type="character" w:customStyle="1" w:styleId="14">
    <w:name w:val="font21"/>
    <w:basedOn w:val="12"/>
    <w:qFormat/>
    <w:uiPriority w:val="0"/>
    <w:rPr>
      <w:rFonts w:hint="eastAsia" w:ascii="宋体" w:hAnsi="宋体" w:eastAsia="宋体" w:cs="宋体"/>
      <w:color w:val="000000"/>
      <w:sz w:val="20"/>
      <w:szCs w:val="20"/>
      <w:u w:val="none"/>
    </w:rPr>
  </w:style>
  <w:style w:type="paragraph" w:styleId="15">
    <w:name w:val="List Paragraph"/>
    <w:basedOn w:val="1"/>
    <w:qFormat/>
    <w:uiPriority w:val="99"/>
    <w:pPr>
      <w:ind w:firstLine="420" w:firstLineChars="200"/>
    </w:pPr>
  </w:style>
  <w:style w:type="character" w:customStyle="1" w:styleId="16">
    <w:name w:val="font41"/>
    <w:basedOn w:val="12"/>
    <w:qFormat/>
    <w:uiPriority w:val="0"/>
    <w:rPr>
      <w:rFonts w:hint="default" w:ascii="Times New Roman" w:hAnsi="Times New Roman" w:cs="Times New Roman"/>
      <w:color w:val="000000"/>
      <w:sz w:val="28"/>
      <w:szCs w:val="28"/>
      <w:u w:val="none"/>
    </w:rPr>
  </w:style>
  <w:style w:type="character" w:customStyle="1" w:styleId="17">
    <w:name w:val="font11"/>
    <w:basedOn w:val="12"/>
    <w:qFormat/>
    <w:uiPriority w:val="0"/>
    <w:rPr>
      <w:rFonts w:hint="default" w:ascii="仿宋_GB2312" w:eastAsia="仿宋_GB2312" w:cs="仿宋_GB2312"/>
      <w:color w:val="000000"/>
      <w:sz w:val="28"/>
      <w:szCs w:val="28"/>
      <w:u w:val="none"/>
    </w:rPr>
  </w:style>
  <w:style w:type="character" w:customStyle="1" w:styleId="18">
    <w:name w:val="font71"/>
    <w:basedOn w:val="12"/>
    <w:qFormat/>
    <w:uiPriority w:val="0"/>
    <w:rPr>
      <w:rFonts w:hint="default" w:ascii="Times New Roman" w:hAnsi="Times New Roman" w:cs="Times New Roman"/>
      <w:color w:val="000000"/>
      <w:sz w:val="26"/>
      <w:szCs w:val="26"/>
      <w:u w:val="none"/>
    </w:rPr>
  </w:style>
  <w:style w:type="paragraph" w:customStyle="1" w:styleId="19">
    <w:name w:val="Table Paragraph"/>
    <w:basedOn w:val="1"/>
    <w:semiHidden/>
    <w:qFormat/>
    <w:uiPriority w:val="0"/>
    <w:rPr>
      <w:rFonts w:ascii="Calibri" w:hAnsi="Calibri" w:eastAsia="宋体" w:cs="Times New Roman"/>
      <w:sz w:val="24"/>
    </w:rPr>
  </w:style>
  <w:style w:type="character" w:customStyle="1" w:styleId="20">
    <w:name w:val="页眉 Char"/>
    <w:basedOn w:val="12"/>
    <w:link w:val="6"/>
    <w:qFormat/>
    <w:uiPriority w:val="0"/>
    <w:rPr>
      <w:rFonts w:asciiTheme="minorHAnsi" w:hAnsiTheme="minorHAnsi" w:eastAsiaTheme="minorEastAsia" w:cstheme="minorBidi"/>
      <w:kern w:val="2"/>
      <w:sz w:val="18"/>
      <w:szCs w:val="18"/>
    </w:rPr>
  </w:style>
  <w:style w:type="character" w:customStyle="1" w:styleId="21">
    <w:name w:val="页脚 Char"/>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4064</Words>
  <Characters>4586</Characters>
  <Lines>28</Lines>
  <Paragraphs>8</Paragraphs>
  <TotalTime>4</TotalTime>
  <ScaleCrop>false</ScaleCrop>
  <LinksUpToDate>false</LinksUpToDate>
  <CharactersWithSpaces>4692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Dell</cp:lastModifiedBy>
  <dcterms:modified xsi:type="dcterms:W3CDTF">2022-11-15T07:23:43Z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54657870189A45548703FC3B6CBAEC04</vt:lpwstr>
  </property>
</Properties>
</file>