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/>
        <w:ind w:firstLine="0" w:firstLineChars="0"/>
      </w:pPr>
      <w:r>
        <w:rPr>
          <w:rFonts w:hint="eastAsia"/>
        </w:rPr>
        <w:t>附件1：</w:t>
      </w:r>
    </w:p>
    <w:p>
      <w:pPr>
        <w:spacing w:line="520" w:lineRule="exact"/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Hlk118922817"/>
      <w:r>
        <w:rPr>
          <w:rFonts w:hint="eastAsia" w:ascii="方正小标宋简体" w:hAnsi="宋体" w:eastAsia="方正小标宋简体"/>
          <w:sz w:val="36"/>
          <w:szCs w:val="36"/>
        </w:rPr>
        <w:t>南昌职业大学红色</w:t>
      </w:r>
      <w:bookmarkStart w:id="2" w:name="_GoBack"/>
      <w:bookmarkEnd w:id="2"/>
      <w:r>
        <w:rPr>
          <w:rFonts w:hint="eastAsia" w:ascii="方正小标宋简体" w:hAnsi="宋体" w:eastAsia="方正小标宋简体"/>
          <w:sz w:val="36"/>
          <w:szCs w:val="36"/>
        </w:rPr>
        <w:t>文化教育馆</w:t>
      </w:r>
    </w:p>
    <w:p>
      <w:pPr>
        <w:spacing w:line="52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建设项目功能定位及要求</w:t>
      </w:r>
      <w:bookmarkEnd w:id="0"/>
    </w:p>
    <w:p>
      <w:pPr>
        <w:spacing w:line="480" w:lineRule="exact"/>
        <w:ind w:firstLine="600" w:firstLineChars="200"/>
        <w:rPr>
          <w:rFonts w:ascii="黑体" w:hAnsi="黑体" w:eastAsia="黑体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一、功能定位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在红色教育馆的整体设计中必须具备育人功能，希望把最经典的红色文化，通过最恰当的展陈形式进行表达，从而达到育人效果。将该项目打造成为培育“红色”下一代的重要课堂，成为落实赓续红色血脉、弘扬时代新风的重要载体，成为落实赓续红色血脉、弘扬时代新风的重要载体，成为学校革命传统教育基地、思政实践教学基地、党员培训教育基地，成为南昌职业大学党建及思政工作新形象的重要窗口。</w:t>
      </w:r>
    </w:p>
    <w:p>
      <w:pPr>
        <w:spacing w:line="48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二、空间布局及功能要求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充分利用空间，布局设计合理，整体色调鲜艳明亮，入口和参观行动路线的出口为同一出入口</w:t>
      </w:r>
      <w:r>
        <w:rPr>
          <w:rFonts w:hint="eastAsia" w:ascii="仿宋" w:hAnsi="仿宋" w:eastAsia="仿宋"/>
          <w:b/>
          <w:bCs/>
          <w:sz w:val="30"/>
          <w:szCs w:val="30"/>
        </w:rPr>
        <w:t>（各公司也可根据设计提供第二套方案）</w:t>
      </w:r>
      <w:r>
        <w:rPr>
          <w:rFonts w:hint="eastAsia" w:ascii="仿宋" w:hAnsi="仿宋" w:eastAsia="仿宋"/>
          <w:sz w:val="30"/>
          <w:szCs w:val="30"/>
        </w:rPr>
        <w:t>。各分馆我们只列出必要展陈的内容和设备要求（</w:t>
      </w:r>
      <w:r>
        <w:rPr>
          <w:rFonts w:hint="eastAsia" w:ascii="仿宋" w:hAnsi="仿宋" w:eastAsia="仿宋"/>
          <w:b/>
          <w:bCs/>
          <w:sz w:val="30"/>
          <w:szCs w:val="30"/>
        </w:rPr>
        <w:t>详见附件3</w:t>
      </w:r>
      <w:r>
        <w:rPr>
          <w:rFonts w:hint="eastAsia" w:ascii="仿宋" w:hAnsi="仿宋" w:eastAsia="仿宋"/>
          <w:sz w:val="30"/>
          <w:szCs w:val="30"/>
        </w:rPr>
        <w:t>），具体展陈形式和设备参数型号由各公司自行设计。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1．序厅（</w:t>
      </w:r>
      <w:r>
        <w:rPr>
          <w:rFonts w:ascii="仿宋" w:hAnsi="仿宋" w:eastAsia="仿宋"/>
          <w:sz w:val="30"/>
          <w:szCs w:val="30"/>
        </w:rPr>
        <w:t>5%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spacing w:line="480" w:lineRule="exact"/>
        <w:ind w:firstLine="600" w:firstLineChars="200"/>
        <w:rPr>
          <w:rFonts w:ascii="仿宋" w:hAnsi="仿宋" w:eastAsia="仿宋"/>
          <w:spacing w:val="-2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要求：重点打造。具有情景感，采用</w:t>
      </w:r>
      <w:r>
        <w:rPr>
          <w:rFonts w:hint="eastAsia" w:ascii="仿宋" w:hAnsi="仿宋" w:eastAsia="仿宋"/>
          <w:spacing w:val="-20"/>
          <w:sz w:val="30"/>
          <w:szCs w:val="30"/>
        </w:rPr>
        <w:t>弧形大屏幕播放本馆基本概况。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2．百年党史</w:t>
      </w:r>
      <w:r>
        <w:rPr>
          <w:rFonts w:ascii="仿宋" w:hAnsi="仿宋" w:eastAsia="仿宋"/>
          <w:sz w:val="30"/>
          <w:szCs w:val="30"/>
        </w:rPr>
        <w:t>展区</w:t>
      </w:r>
      <w:r>
        <w:rPr>
          <w:rFonts w:hint="eastAsia" w:ascii="仿宋" w:hAnsi="仿宋" w:eastAsia="仿宋"/>
          <w:sz w:val="30"/>
          <w:szCs w:val="30"/>
        </w:rPr>
        <w:t>（</w:t>
      </w:r>
      <w:r>
        <w:rPr>
          <w:rFonts w:ascii="仿宋" w:hAnsi="仿宋" w:eastAsia="仿宋"/>
          <w:sz w:val="30"/>
          <w:szCs w:val="30"/>
        </w:rPr>
        <w:t>25%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要求：按照百年党史的历史发展阶段进行展陈，由各公司提供图文及视频资料，由学校马克思主义学院进行对接审核。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3．红色江西</w:t>
      </w:r>
      <w:r>
        <w:rPr>
          <w:rFonts w:ascii="仿宋" w:hAnsi="仿宋" w:eastAsia="仿宋"/>
          <w:sz w:val="30"/>
          <w:szCs w:val="30"/>
        </w:rPr>
        <w:t>展区</w:t>
      </w:r>
      <w:r>
        <w:rPr>
          <w:rFonts w:hint="eastAsia" w:ascii="仿宋" w:hAnsi="仿宋" w:eastAsia="仿宋"/>
          <w:sz w:val="30"/>
          <w:szCs w:val="30"/>
        </w:rPr>
        <w:t>（</w:t>
      </w:r>
      <w:r>
        <w:rPr>
          <w:rFonts w:ascii="仿宋" w:hAnsi="仿宋" w:eastAsia="仿宋"/>
          <w:sz w:val="30"/>
          <w:szCs w:val="30"/>
        </w:rPr>
        <w:t>15%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要求：沿着江西红色革命历史发展集中展陈江西的红色历史文化，由各公司提供图文及视频资料，由学校马克思主义学院进行对接审核。（可摆放仿真历史物件）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4．长征精神</w:t>
      </w:r>
      <w:r>
        <w:rPr>
          <w:rFonts w:ascii="仿宋" w:hAnsi="仿宋" w:eastAsia="仿宋"/>
          <w:sz w:val="30"/>
          <w:szCs w:val="30"/>
        </w:rPr>
        <w:t>展区</w:t>
      </w:r>
      <w:r>
        <w:rPr>
          <w:rFonts w:hint="eastAsia" w:ascii="仿宋" w:hAnsi="仿宋" w:eastAsia="仿宋"/>
          <w:sz w:val="30"/>
          <w:szCs w:val="30"/>
        </w:rPr>
        <w:t>（</w:t>
      </w:r>
      <w:r>
        <w:rPr>
          <w:rFonts w:ascii="仿宋" w:hAnsi="仿宋" w:eastAsia="仿宋"/>
          <w:sz w:val="30"/>
          <w:szCs w:val="30"/>
        </w:rPr>
        <w:t>50%</w:t>
      </w:r>
      <w:r>
        <w:rPr>
          <w:rFonts w:hint="eastAsia" w:ascii="仿宋" w:hAnsi="仿宋" w:eastAsia="仿宋"/>
          <w:sz w:val="30"/>
          <w:szCs w:val="30"/>
        </w:rPr>
        <w:t>：其中长征精神2</w:t>
      </w:r>
      <w:r>
        <w:rPr>
          <w:rFonts w:ascii="仿宋" w:hAnsi="仿宋" w:eastAsia="仿宋"/>
          <w:sz w:val="30"/>
          <w:szCs w:val="30"/>
        </w:rPr>
        <w:t>0%</w:t>
      </w:r>
      <w:r>
        <w:rPr>
          <w:rFonts w:hint="eastAsia" w:ascii="仿宋" w:hAnsi="仿宋" w:eastAsia="仿宋"/>
          <w:sz w:val="30"/>
          <w:szCs w:val="30"/>
        </w:rPr>
        <w:t>；重走红军长征路3</w:t>
      </w:r>
      <w:r>
        <w:rPr>
          <w:rFonts w:ascii="仿宋" w:hAnsi="仿宋" w:eastAsia="仿宋"/>
          <w:sz w:val="30"/>
          <w:szCs w:val="30"/>
        </w:rPr>
        <w:t>0%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要求：该</w:t>
      </w:r>
      <w:r>
        <w:rPr>
          <w:rFonts w:ascii="仿宋" w:hAnsi="仿宋" w:eastAsia="仿宋"/>
          <w:sz w:val="30"/>
          <w:szCs w:val="30"/>
        </w:rPr>
        <w:t>展区</w:t>
      </w:r>
      <w:r>
        <w:rPr>
          <w:rFonts w:hint="eastAsia" w:ascii="仿宋" w:hAnsi="仿宋" w:eastAsia="仿宋"/>
          <w:sz w:val="30"/>
          <w:szCs w:val="30"/>
        </w:rPr>
        <w:t>重点打造。第一部分展示红军“长征精神”，第二部分结合南昌职业大学“重走红军长征路”实践活动进行展陈（我校从2</w:t>
      </w:r>
      <w:r>
        <w:rPr>
          <w:rFonts w:ascii="仿宋" w:hAnsi="仿宋" w:eastAsia="仿宋"/>
          <w:sz w:val="30"/>
          <w:szCs w:val="30"/>
        </w:rPr>
        <w:t>019</w:t>
      </w:r>
      <w:r>
        <w:rPr>
          <w:rFonts w:hint="eastAsia" w:ascii="仿宋" w:hAnsi="仿宋" w:eastAsia="仿宋"/>
          <w:sz w:val="30"/>
          <w:szCs w:val="30"/>
        </w:rPr>
        <w:t>年起开展“重走红军长征路”实践活动，计划在</w:t>
      </w:r>
      <w:r>
        <w:rPr>
          <w:rFonts w:ascii="仿宋" w:hAnsi="仿宋" w:eastAsia="仿宋"/>
          <w:sz w:val="30"/>
          <w:szCs w:val="30"/>
        </w:rPr>
        <w:t>2036</w:t>
      </w:r>
      <w:r>
        <w:rPr>
          <w:rFonts w:hint="eastAsia" w:ascii="仿宋" w:hAnsi="仿宋" w:eastAsia="仿宋"/>
          <w:sz w:val="30"/>
          <w:szCs w:val="30"/>
        </w:rPr>
        <w:t>年走完“红军长征路”。期间共计1</w:t>
      </w:r>
      <w:r>
        <w:rPr>
          <w:rFonts w:ascii="仿宋" w:hAnsi="仿宋" w:eastAsia="仿宋"/>
          <w:sz w:val="30"/>
          <w:szCs w:val="30"/>
        </w:rPr>
        <w:t>8</w:t>
      </w:r>
      <w:r>
        <w:rPr>
          <w:rFonts w:hint="eastAsia" w:ascii="仿宋" w:hAnsi="仿宋" w:eastAsia="仿宋"/>
          <w:sz w:val="30"/>
          <w:szCs w:val="30"/>
        </w:rPr>
        <w:t>年，需要按1</w:t>
      </w:r>
      <w:r>
        <w:rPr>
          <w:rFonts w:ascii="仿宋" w:hAnsi="仿宋" w:eastAsia="仿宋"/>
          <w:sz w:val="30"/>
          <w:szCs w:val="30"/>
        </w:rPr>
        <w:t>8</w:t>
      </w:r>
      <w:r>
        <w:rPr>
          <w:rFonts w:hint="eastAsia" w:ascii="仿宋" w:hAnsi="仿宋" w:eastAsia="仿宋"/>
          <w:sz w:val="30"/>
          <w:szCs w:val="30"/>
        </w:rPr>
        <w:t>个模块进行展陈，截至目前已开展四年，相关信息可在学校官网进行查询）。展陈形式上必须按照“历史场景——新时代面貌——学校实践活动现场——学生感悟（发生的感人故事）”进行展陈。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整体脉络为：变的是人民幸福生活不断提高；不变的是初心和</w:t>
      </w:r>
      <w:r>
        <w:rPr>
          <w:rFonts w:ascii="仿宋" w:hAnsi="仿宋" w:eastAsia="仿宋"/>
          <w:sz w:val="30"/>
          <w:szCs w:val="30"/>
        </w:rPr>
        <w:t>红色基因</w:t>
      </w:r>
      <w:r>
        <w:rPr>
          <w:rFonts w:hint="eastAsia" w:ascii="仿宋" w:hAnsi="仿宋" w:eastAsia="仿宋"/>
          <w:sz w:val="30"/>
          <w:szCs w:val="30"/>
        </w:rPr>
        <w:t>；感悟的是</w:t>
      </w:r>
      <w:r>
        <w:rPr>
          <w:rFonts w:ascii="仿宋" w:hAnsi="仿宋" w:eastAsia="仿宋"/>
          <w:sz w:val="30"/>
          <w:szCs w:val="30"/>
        </w:rPr>
        <w:t>今天幸福的</w:t>
      </w:r>
      <w:r>
        <w:rPr>
          <w:rFonts w:hint="eastAsia" w:ascii="仿宋" w:hAnsi="仿宋" w:eastAsia="仿宋"/>
          <w:sz w:val="30"/>
          <w:szCs w:val="30"/>
        </w:rPr>
        <w:t>来之不易</w:t>
      </w:r>
      <w:r>
        <w:rPr>
          <w:rFonts w:ascii="仿宋" w:hAnsi="仿宋" w:eastAsia="仿宋"/>
          <w:sz w:val="30"/>
          <w:szCs w:val="30"/>
        </w:rPr>
        <w:t>与</w:t>
      </w:r>
      <w:r>
        <w:rPr>
          <w:rFonts w:hint="eastAsia" w:ascii="仿宋" w:hAnsi="仿宋" w:eastAsia="仿宋"/>
          <w:sz w:val="30"/>
          <w:szCs w:val="30"/>
        </w:rPr>
        <w:t>对</w:t>
      </w:r>
      <w:r>
        <w:rPr>
          <w:rFonts w:ascii="仿宋" w:hAnsi="仿宋" w:eastAsia="仿宋"/>
          <w:sz w:val="30"/>
          <w:szCs w:val="30"/>
        </w:rPr>
        <w:t>革命先辈</w:t>
      </w:r>
      <w:r>
        <w:rPr>
          <w:rFonts w:hint="eastAsia" w:ascii="仿宋" w:hAnsi="仿宋" w:eastAsia="仿宋"/>
          <w:sz w:val="30"/>
          <w:szCs w:val="30"/>
        </w:rPr>
        <w:t>的</w:t>
      </w:r>
      <w:r>
        <w:rPr>
          <w:rFonts w:ascii="仿宋" w:hAnsi="仿宋" w:eastAsia="仿宋"/>
          <w:sz w:val="30"/>
          <w:szCs w:val="30"/>
        </w:rPr>
        <w:t>感恩</w:t>
      </w:r>
      <w:r>
        <w:rPr>
          <w:rFonts w:hint="eastAsia" w:ascii="仿宋" w:hAnsi="仿宋" w:eastAsia="仿宋"/>
          <w:sz w:val="30"/>
          <w:szCs w:val="30"/>
        </w:rPr>
        <w:t>；</w:t>
      </w:r>
      <w:r>
        <w:rPr>
          <w:rFonts w:ascii="仿宋" w:hAnsi="仿宋" w:eastAsia="仿宋"/>
          <w:sz w:val="30"/>
          <w:szCs w:val="30"/>
        </w:rPr>
        <w:t>坚定</w:t>
      </w:r>
      <w:r>
        <w:rPr>
          <w:rFonts w:hint="eastAsia" w:ascii="仿宋" w:hAnsi="仿宋" w:eastAsia="仿宋"/>
          <w:sz w:val="30"/>
          <w:szCs w:val="30"/>
        </w:rPr>
        <w:t>的是</w:t>
      </w:r>
      <w:r>
        <w:rPr>
          <w:rFonts w:ascii="仿宋" w:hAnsi="仿宋" w:eastAsia="仿宋"/>
          <w:sz w:val="30"/>
          <w:szCs w:val="30"/>
        </w:rPr>
        <w:t>共产主义信念；赓续的是红色血脉；传承的是伟大</w:t>
      </w:r>
      <w:r>
        <w:rPr>
          <w:rFonts w:hint="eastAsia" w:ascii="仿宋" w:hAnsi="仿宋" w:eastAsia="仿宋"/>
          <w:sz w:val="30"/>
          <w:szCs w:val="30"/>
        </w:rPr>
        <w:t>革命精神</w:t>
      </w:r>
      <w:r>
        <w:rPr>
          <w:rFonts w:ascii="仿宋" w:hAnsi="仿宋" w:eastAsia="仿宋"/>
          <w:sz w:val="30"/>
          <w:szCs w:val="30"/>
        </w:rPr>
        <w:t>；担当的是新时代使命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设计中</w:t>
      </w:r>
      <w:r>
        <w:rPr>
          <w:rFonts w:ascii="仿宋" w:hAnsi="仿宋" w:eastAsia="仿宋"/>
          <w:sz w:val="30"/>
          <w:szCs w:val="30"/>
        </w:rPr>
        <w:t>还</w:t>
      </w:r>
      <w:r>
        <w:rPr>
          <w:rFonts w:hint="eastAsia" w:ascii="仿宋" w:hAnsi="仿宋" w:eastAsia="仿宋"/>
          <w:sz w:val="30"/>
          <w:szCs w:val="30"/>
        </w:rPr>
        <w:t>应着重解决我校后续增添实践活动内容的可操作性和便利性，不能大面积留白</w:t>
      </w:r>
      <w:r>
        <w:rPr>
          <w:rFonts w:ascii="仿宋" w:hAnsi="仿宋" w:eastAsia="仿宋"/>
          <w:sz w:val="30"/>
          <w:szCs w:val="30"/>
        </w:rPr>
        <w:t>，且</w:t>
      </w:r>
      <w:r>
        <w:rPr>
          <w:rFonts w:hint="eastAsia" w:ascii="仿宋" w:hAnsi="仿宋" w:eastAsia="仿宋"/>
          <w:sz w:val="30"/>
          <w:szCs w:val="30"/>
        </w:rPr>
        <w:t>须</w:t>
      </w:r>
      <w:r>
        <w:rPr>
          <w:rFonts w:ascii="仿宋" w:hAnsi="仿宋" w:eastAsia="仿宋"/>
          <w:sz w:val="30"/>
          <w:szCs w:val="30"/>
        </w:rPr>
        <w:t>具备</w:t>
      </w:r>
      <w:r>
        <w:rPr>
          <w:rFonts w:hint="eastAsia" w:ascii="仿宋" w:hAnsi="仿宋" w:eastAsia="仿宋"/>
          <w:sz w:val="30"/>
          <w:szCs w:val="30"/>
        </w:rPr>
        <w:t>多媒体互动或沉浸式体验</w:t>
      </w:r>
      <w:r>
        <w:rPr>
          <w:rFonts w:ascii="仿宋" w:hAnsi="仿宋" w:eastAsia="仿宋"/>
          <w:sz w:val="30"/>
          <w:szCs w:val="30"/>
        </w:rPr>
        <w:t>功能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5．尾厅（</w:t>
      </w:r>
      <w:r>
        <w:rPr>
          <w:rFonts w:ascii="仿宋" w:hAnsi="仿宋" w:eastAsia="仿宋"/>
          <w:sz w:val="30"/>
          <w:szCs w:val="30"/>
        </w:rPr>
        <w:t>5%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要求：设计上要达到“新时代新长征”“接力奋进强国有我”的启迪教育功能。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6．多功能厅（在整个区域外建立）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要求：满足100人的学习研讨和基层党建信息化指挥中心（需要大屏幕和电脑），座椅不能固定，可自由组合。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7．网上虚拟红色文化教育馆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要求：通过基于地图进行展区整体浏览，还可选择不同展区进行浏览，在浏览漫游过程，配合图文解说，讲述相关内容。</w:t>
      </w:r>
    </w:p>
    <w:p>
      <w:pPr>
        <w:spacing w:line="48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三、主体工程建设要求</w:t>
      </w:r>
    </w:p>
    <w:p>
      <w:pPr>
        <w:pStyle w:val="30"/>
        <w:spacing w:line="480" w:lineRule="exact"/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各投标公司在设计时务必包含二次消防、暖通工程，且采用材料必须达到国家环保要求的标准。另外，该项目位于南昌职业大学图书馆六楼南面（</w:t>
      </w:r>
      <w:r>
        <w:rPr>
          <w:rFonts w:hint="eastAsia" w:ascii="仿宋" w:hAnsi="仿宋" w:eastAsia="仿宋"/>
          <w:b/>
          <w:bCs/>
          <w:sz w:val="30"/>
          <w:szCs w:val="30"/>
        </w:rPr>
        <w:t>平面图详见附件4</w:t>
      </w:r>
      <w:r>
        <w:rPr>
          <w:rFonts w:hint="eastAsia" w:ascii="仿宋" w:hAnsi="仿宋" w:eastAsia="仿宋"/>
          <w:sz w:val="30"/>
          <w:szCs w:val="30"/>
        </w:rPr>
        <w:t>），该区域内有部分隔断（非承重强），各公司在设计时应因地制宜，尽可能减少墙体拆除。</w:t>
      </w:r>
    </w:p>
    <w:p>
      <w:pPr>
        <w:spacing w:line="48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四、其他事项</w:t>
      </w:r>
    </w:p>
    <w:p>
      <w:pPr>
        <w:pStyle w:val="30"/>
        <w:spacing w:line="480" w:lineRule="exact"/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若上述内容还需进一步沟通，请各公司按所涉及的项目类别与以下人员进行联系。</w:t>
      </w:r>
    </w:p>
    <w:p>
      <w:pPr>
        <w:pStyle w:val="30"/>
        <w:spacing w:line="480" w:lineRule="exact"/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马克思主义学院联系人：张天政（</w:t>
      </w:r>
      <w:r>
        <w:rPr>
          <w:rFonts w:ascii="仿宋" w:hAnsi="仿宋" w:eastAsia="仿宋"/>
          <w:sz w:val="30"/>
          <w:szCs w:val="30"/>
        </w:rPr>
        <w:t>15879159850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pStyle w:val="30"/>
        <w:spacing w:line="480" w:lineRule="exact"/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项目基建施工联系人：何卫星（1</w:t>
      </w:r>
      <w:r>
        <w:rPr>
          <w:rFonts w:ascii="仿宋" w:hAnsi="仿宋" w:eastAsia="仿宋"/>
          <w:sz w:val="30"/>
          <w:szCs w:val="30"/>
        </w:rPr>
        <w:t>8720900760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pStyle w:val="30"/>
        <w:spacing w:line="480" w:lineRule="exact"/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项目其他事宜沟通人：王波（1</w:t>
      </w:r>
      <w:r>
        <w:rPr>
          <w:rFonts w:ascii="仿宋" w:hAnsi="仿宋" w:eastAsia="仿宋"/>
          <w:sz w:val="30"/>
          <w:szCs w:val="30"/>
        </w:rPr>
        <w:t>8720900670</w:t>
      </w:r>
      <w:r>
        <w:rPr>
          <w:rFonts w:hint="eastAsia" w:ascii="仿宋" w:hAnsi="仿宋" w:eastAsia="仿宋"/>
          <w:sz w:val="30"/>
          <w:szCs w:val="30"/>
        </w:rPr>
        <w:t>）</w:t>
      </w:r>
    </w:p>
    <w:p>
      <w:pPr>
        <w:pStyle w:val="30"/>
        <w:spacing w:line="480" w:lineRule="exact"/>
        <w:ind w:firstLine="600"/>
        <w:rPr>
          <w:rFonts w:ascii="仿宋" w:hAnsi="仿宋" w:eastAsia="仿宋"/>
          <w:sz w:val="30"/>
          <w:szCs w:val="30"/>
        </w:rPr>
        <w:sectPr>
          <w:footerReference r:id="rId3" w:type="default"/>
          <w:pgSz w:w="11906" w:h="16838"/>
          <w:pgMar w:top="1701" w:right="1588" w:bottom="1474" w:left="1588" w:header="851" w:footer="992" w:gutter="0"/>
          <w:pgNumType w:start="1"/>
          <w:cols w:space="425" w:num="1"/>
          <w:docGrid w:type="linesAndChars" w:linePitch="312" w:charSpace="0"/>
        </w:sectPr>
      </w:pPr>
    </w:p>
    <w:p>
      <w:pPr>
        <w:pStyle w:val="2"/>
        <w:spacing w:before="0"/>
        <w:ind w:firstLine="0" w:firstLineChars="0"/>
      </w:pPr>
      <w:r>
        <w:rPr>
          <w:rFonts w:hint="eastAsia"/>
        </w:rPr>
        <w:t>附件2：</w:t>
      </w:r>
    </w:p>
    <w:p>
      <w:pPr>
        <w:spacing w:line="4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南昌职业大学红色文化教育馆建设项目</w:t>
      </w:r>
    </w:p>
    <w:p>
      <w:pPr>
        <w:spacing w:after="156" w:afterLines="50" w:line="4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投标报价汇总表</w:t>
      </w:r>
    </w:p>
    <w:tbl>
      <w:tblPr>
        <w:tblStyle w:val="23"/>
        <w:tblW w:w="83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707"/>
        <w:gridCol w:w="1698"/>
        <w:gridCol w:w="989"/>
        <w:gridCol w:w="3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项目类别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序号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项目名称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金额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（元）</w:t>
            </w: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一、设计类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设计费用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按照计价格(2002)10号文计取，含税金6.00%。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restart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二、施工类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装修施工费用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continue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陈列布展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（装饰）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continue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二次消防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仅改造二次消防的末端喷淋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restart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三、多媒体类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硬件费用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continue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软件费用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restart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四、网上虚拟展馆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硬件费用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continue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软件费用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五、暖通工程类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暖通工程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六、家具类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家具费用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4237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以上小计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restart"/>
            <w:vAlign w:val="center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七、税金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11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不含税金总价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 xml:space="preserve">税金为： 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 xml:space="preserve">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12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含税金总价</w:t>
            </w:r>
          </w:p>
        </w:tc>
        <w:tc>
          <w:tcPr>
            <w:tcW w:w="98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31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4237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项目总价合计</w:t>
            </w:r>
          </w:p>
        </w:tc>
        <w:tc>
          <w:tcPr>
            <w:tcW w:w="41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（小写金额）：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4237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41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（大写金额）：</w:t>
            </w:r>
          </w:p>
        </w:tc>
      </w:tr>
    </w:tbl>
    <w:p>
      <w:pPr>
        <w:spacing w:after="156" w:afterLines="50" w:line="400" w:lineRule="exac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1.</w:t>
      </w:r>
      <w:r>
        <w:rPr>
          <w:rFonts w:hint="eastAsia" w:ascii="仿宋" w:hAnsi="仿宋" w:eastAsia="仿宋"/>
          <w:b/>
          <w:bCs/>
          <w:sz w:val="32"/>
          <w:szCs w:val="32"/>
        </w:rPr>
        <w:t>装修施工类项目投标报价明细表</w:t>
      </w:r>
    </w:p>
    <w:tbl>
      <w:tblPr>
        <w:tblStyle w:val="23"/>
        <w:tblW w:w="9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345"/>
        <w:gridCol w:w="254"/>
        <w:gridCol w:w="441"/>
        <w:gridCol w:w="1113"/>
        <w:gridCol w:w="1104"/>
        <w:gridCol w:w="1407"/>
        <w:gridCol w:w="706"/>
        <w:gridCol w:w="703"/>
        <w:gridCol w:w="706"/>
        <w:gridCol w:w="703"/>
        <w:gridCol w:w="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项目内容</w:t>
            </w:r>
          </w:p>
        </w:tc>
        <w:tc>
          <w:tcPr>
            <w:tcW w:w="140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70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70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合价</w:t>
            </w:r>
          </w:p>
        </w:tc>
        <w:tc>
          <w:tcPr>
            <w:tcW w:w="70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一、装修类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1.地面工程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2.顶面工程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3.隔墙工程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4.墙面工程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.门窗工程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.……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二、安装类</w:t>
            </w:r>
          </w:p>
        </w:tc>
        <w:tc>
          <w:tcPr>
            <w:tcW w:w="13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1.强电工程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弱电工程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三、……</w:t>
            </w:r>
          </w:p>
        </w:tc>
        <w:tc>
          <w:tcPr>
            <w:tcW w:w="1345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1.……</w:t>
            </w:r>
          </w:p>
        </w:tc>
        <w:tc>
          <w:tcPr>
            <w:tcW w:w="69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①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9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95" w:type="dxa"/>
            <w:gridSpan w:val="2"/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…</w:t>
            </w:r>
          </w:p>
        </w:tc>
        <w:tc>
          <w:tcPr>
            <w:tcW w:w="111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4" w:type="dxa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577" w:type="dxa"/>
            <w:gridSpan w:val="10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以上合计</w:t>
            </w:r>
          </w:p>
        </w:tc>
        <w:tc>
          <w:tcPr>
            <w:tcW w:w="1406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97" w:type="dxa"/>
            <w:gridSpan w:val="3"/>
            <w:shd w:val="clear" w:color="auto" w:fill="auto"/>
            <w:noWrap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四、税金</w:t>
            </w:r>
          </w:p>
        </w:tc>
        <w:tc>
          <w:tcPr>
            <w:tcW w:w="6180" w:type="dxa"/>
            <w:gridSpan w:val="7"/>
            <w:shd w:val="clear" w:color="auto" w:fill="auto"/>
            <w:vAlign w:val="bottom"/>
          </w:tcPr>
          <w:p>
            <w:pPr>
              <w:ind w:firstLine="1980" w:firstLineChars="900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1406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577" w:type="dxa"/>
            <w:gridSpan w:val="10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406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widowControl/>
        <w:spacing w:after="156" w:afterLines="5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</w:t>
      </w:r>
      <w:r>
        <w:rPr>
          <w:rFonts w:ascii="仿宋" w:hAnsi="仿宋" w:eastAsia="仿宋"/>
          <w:b/>
          <w:bCs/>
          <w:sz w:val="32"/>
          <w:szCs w:val="32"/>
        </w:rPr>
        <w:t>.</w:t>
      </w:r>
      <w:r>
        <w:rPr>
          <w:rFonts w:hint="eastAsia" w:ascii="仿宋" w:hAnsi="仿宋" w:eastAsia="仿宋"/>
          <w:b/>
          <w:bCs/>
          <w:sz w:val="32"/>
          <w:szCs w:val="32"/>
        </w:rPr>
        <w:t>陈列布展（装饰）</w:t>
      </w:r>
      <w:bookmarkStart w:id="1" w:name="_Hlk120971907"/>
      <w:r>
        <w:rPr>
          <w:rFonts w:hint="eastAsia" w:ascii="仿宋" w:hAnsi="仿宋" w:eastAsia="仿宋"/>
          <w:b/>
          <w:bCs/>
          <w:sz w:val="32"/>
          <w:szCs w:val="32"/>
        </w:rPr>
        <w:t>类项目投标报价明细表</w:t>
      </w:r>
      <w:bookmarkEnd w:id="1"/>
    </w:p>
    <w:tbl>
      <w:tblPr>
        <w:tblStyle w:val="23"/>
        <w:tblW w:w="98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094"/>
        <w:gridCol w:w="33"/>
        <w:gridCol w:w="845"/>
        <w:gridCol w:w="1127"/>
        <w:gridCol w:w="1127"/>
        <w:gridCol w:w="1249"/>
        <w:gridCol w:w="725"/>
        <w:gridCol w:w="705"/>
        <w:gridCol w:w="754"/>
        <w:gridCol w:w="655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项目内容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一、道具类</w:t>
            </w: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  <w:jc w:val="center"/>
        </w:trPr>
        <w:tc>
          <w:tcPr>
            <w:tcW w:w="8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二、场景类</w:t>
            </w: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三、美工布展类</w:t>
            </w:r>
          </w:p>
        </w:tc>
        <w:tc>
          <w:tcPr>
            <w:tcW w:w="11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三、………</w:t>
            </w:r>
          </w:p>
        </w:tc>
        <w:tc>
          <w:tcPr>
            <w:tcW w:w="11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6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四、税金</w:t>
            </w:r>
          </w:p>
        </w:tc>
        <w:tc>
          <w:tcPr>
            <w:tcW w:w="65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firstLine="2940" w:firstLineChars="14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%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6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before="312" w:beforeLines="100" w:after="156" w:afterLines="5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3</w:t>
      </w:r>
      <w:r>
        <w:rPr>
          <w:rFonts w:ascii="仿宋" w:hAnsi="仿宋" w:eastAsia="仿宋"/>
          <w:b/>
          <w:bCs/>
          <w:sz w:val="32"/>
          <w:szCs w:val="32"/>
        </w:rPr>
        <w:t>.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 二次消防改造类项目投标报价明细表</w:t>
      </w:r>
    </w:p>
    <w:tbl>
      <w:tblPr>
        <w:tblStyle w:val="23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234"/>
        <w:gridCol w:w="679"/>
        <w:gridCol w:w="1139"/>
        <w:gridCol w:w="1796"/>
        <w:gridCol w:w="803"/>
        <w:gridCol w:w="803"/>
        <w:gridCol w:w="815"/>
        <w:gridCol w:w="803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vAlign w:val="bottom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234" w:type="dxa"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67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79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项目内容</w:t>
            </w: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15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vMerge w:val="restart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二次消防改造类</w:t>
            </w:r>
          </w:p>
        </w:tc>
        <w:tc>
          <w:tcPr>
            <w:tcW w:w="1234" w:type="dxa"/>
            <w:vMerge w:val="restart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34" w:type="dxa"/>
            <w:vMerge w:val="restart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67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9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8481" w:type="dxa"/>
            <w:gridSpan w:val="8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12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7269" w:type="dxa"/>
            <w:gridSpan w:val="7"/>
            <w:shd w:val="clear" w:color="auto" w:fill="auto"/>
            <w:vAlign w:val="bottom"/>
          </w:tcPr>
          <w:p>
            <w:pPr>
              <w:spacing w:line="240" w:lineRule="exact"/>
              <w:ind w:firstLine="2730" w:firstLineChars="13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  %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8481" w:type="dxa"/>
            <w:gridSpan w:val="8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after="156" w:afterLines="50" w:line="400" w:lineRule="exact"/>
        <w:jc w:val="left"/>
        <w:rPr>
          <w:rFonts w:ascii="仿宋" w:hAnsi="仿宋" w:eastAsia="仿宋"/>
          <w:b/>
          <w:bCs/>
          <w:sz w:val="32"/>
          <w:szCs w:val="32"/>
        </w:rPr>
        <w:sectPr>
          <w:pgSz w:w="11906" w:h="16838"/>
          <w:pgMar w:top="1701" w:right="1588" w:bottom="1474" w:left="1588" w:header="851" w:footer="992" w:gutter="0"/>
          <w:cols w:space="425" w:num="1"/>
          <w:docGrid w:type="linesAndChars" w:linePitch="312" w:charSpace="0"/>
        </w:sectPr>
      </w:pPr>
    </w:p>
    <w:p>
      <w:pPr>
        <w:widowControl/>
        <w:spacing w:after="156" w:afterLines="5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4.</w:t>
      </w:r>
      <w:r>
        <w:rPr>
          <w:rFonts w:hint="eastAsia" w:ascii="仿宋" w:hAnsi="仿宋" w:eastAsia="仿宋"/>
          <w:b/>
          <w:bCs/>
          <w:sz w:val="32"/>
          <w:szCs w:val="32"/>
        </w:rPr>
        <w:t>多媒体设备类项目投标报价明细表（硬件）</w:t>
      </w:r>
    </w:p>
    <w:tbl>
      <w:tblPr>
        <w:tblStyle w:val="23"/>
        <w:tblW w:w="14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701"/>
        <w:gridCol w:w="75"/>
        <w:gridCol w:w="1028"/>
        <w:gridCol w:w="736"/>
        <w:gridCol w:w="1097"/>
        <w:gridCol w:w="791"/>
        <w:gridCol w:w="1418"/>
        <w:gridCol w:w="1701"/>
        <w:gridCol w:w="1097"/>
        <w:gridCol w:w="636"/>
        <w:gridCol w:w="925"/>
        <w:gridCol w:w="886"/>
        <w:gridCol w:w="1006"/>
        <w:gridCol w:w="836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0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展区</w:t>
            </w:r>
          </w:p>
        </w:tc>
        <w:tc>
          <w:tcPr>
            <w:tcW w:w="110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展项名称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详细特征描述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制造厂商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图片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restart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多媒体（硬件）设备</w:t>
            </w:r>
          </w:p>
        </w:tc>
        <w:tc>
          <w:tcPr>
            <w:tcW w:w="701" w:type="dxa"/>
            <w:vMerge w:val="restart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序厅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670" w:type="dxa"/>
            <w:vMerge w:val="continue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百年党史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红色江西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重走红军长征路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7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尾厅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多功能厅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休息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室</w:t>
            </w:r>
          </w:p>
        </w:tc>
        <w:tc>
          <w:tcPr>
            <w:tcW w:w="1103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67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36" w:type="dxa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11761" w:type="dxa"/>
            <w:gridSpan w:val="1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2859" w:type="dxa"/>
            <w:gridSpan w:val="3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46" w:type="dxa"/>
            <w:gridSpan w:val="3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10315" w:type="dxa"/>
            <w:gridSpan w:val="10"/>
            <w:vAlign w:val="center"/>
          </w:tcPr>
          <w:p>
            <w:pPr>
              <w:spacing w:line="240" w:lineRule="exact"/>
              <w:ind w:firstLine="4620" w:firstLineChars="22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2859" w:type="dxa"/>
            <w:gridSpan w:val="3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1761" w:type="dxa"/>
            <w:gridSpan w:val="1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859" w:type="dxa"/>
            <w:gridSpan w:val="3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after="156" w:afterLines="5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5.</w:t>
      </w:r>
      <w:r>
        <w:rPr>
          <w:rFonts w:hint="eastAsia" w:ascii="仿宋" w:hAnsi="仿宋" w:eastAsia="仿宋"/>
          <w:b/>
          <w:bCs/>
          <w:sz w:val="32"/>
          <w:szCs w:val="32"/>
        </w:rPr>
        <w:t>多媒体设备类项目投标报价明细表（软件）</w:t>
      </w:r>
    </w:p>
    <w:tbl>
      <w:tblPr>
        <w:tblStyle w:val="23"/>
        <w:tblW w:w="14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724"/>
        <w:gridCol w:w="77"/>
        <w:gridCol w:w="1058"/>
        <w:gridCol w:w="759"/>
        <w:gridCol w:w="1131"/>
        <w:gridCol w:w="647"/>
        <w:gridCol w:w="1145"/>
        <w:gridCol w:w="1840"/>
        <w:gridCol w:w="1535"/>
        <w:gridCol w:w="654"/>
        <w:gridCol w:w="948"/>
        <w:gridCol w:w="1002"/>
        <w:gridCol w:w="825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2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展区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展项名称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详细特征描述</w:t>
            </w: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制造厂商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restart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多媒体（软件）设备</w:t>
            </w:r>
          </w:p>
        </w:tc>
        <w:tc>
          <w:tcPr>
            <w:tcW w:w="724" w:type="dxa"/>
            <w:vMerge w:val="restart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序厅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691" w:type="dxa"/>
            <w:vMerge w:val="continue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restart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百年党史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红色江西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重走红军长征路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尾厅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多功能厅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休息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室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47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2211" w:type="dxa"/>
            <w:gridSpan w:val="1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18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92" w:type="dxa"/>
            <w:gridSpan w:val="3"/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10719" w:type="dxa"/>
            <w:gridSpan w:val="10"/>
            <w:vAlign w:val="center"/>
          </w:tcPr>
          <w:p>
            <w:pPr>
              <w:spacing w:line="240" w:lineRule="exact"/>
              <w:ind w:firstLine="4620" w:firstLineChars="22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8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2211" w:type="dxa"/>
            <w:gridSpan w:val="1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8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spacing w:after="156" w:afterLines="50" w:line="400" w:lineRule="exact"/>
        <w:rPr>
          <w:rFonts w:ascii="仿宋" w:hAnsi="仿宋" w:eastAsia="仿宋"/>
          <w:b/>
          <w:bCs/>
        </w:rPr>
        <w:sectPr>
          <w:pgSz w:w="16838" w:h="11906" w:orient="landscape"/>
          <w:pgMar w:top="1134" w:right="1701" w:bottom="1134" w:left="1474" w:header="851" w:footer="992" w:gutter="0"/>
          <w:cols w:space="425" w:num="1"/>
          <w:docGrid w:type="linesAndChars" w:linePitch="312" w:charSpace="0"/>
        </w:sectPr>
      </w:pPr>
    </w:p>
    <w:p>
      <w:pPr>
        <w:widowControl/>
        <w:spacing w:after="156" w:afterLines="5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6.</w:t>
      </w:r>
      <w:r>
        <w:rPr>
          <w:rFonts w:hint="eastAsia" w:ascii="仿宋" w:hAnsi="仿宋" w:eastAsia="仿宋"/>
          <w:b/>
          <w:bCs/>
          <w:sz w:val="32"/>
          <w:szCs w:val="32"/>
        </w:rPr>
        <w:t>网上虚拟展馆类项目投标报价明细表（硬件、软件）</w:t>
      </w:r>
    </w:p>
    <w:tbl>
      <w:tblPr>
        <w:tblStyle w:val="23"/>
        <w:tblW w:w="148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56"/>
        <w:gridCol w:w="553"/>
        <w:gridCol w:w="1134"/>
        <w:gridCol w:w="708"/>
        <w:gridCol w:w="1276"/>
        <w:gridCol w:w="709"/>
        <w:gridCol w:w="1134"/>
        <w:gridCol w:w="21"/>
        <w:gridCol w:w="1497"/>
        <w:gridCol w:w="1449"/>
        <w:gridCol w:w="701"/>
        <w:gridCol w:w="869"/>
        <w:gridCol w:w="1022"/>
        <w:gridCol w:w="820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36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展区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展项名称</w:t>
            </w:r>
          </w:p>
        </w:tc>
        <w:tc>
          <w:tcPr>
            <w:tcW w:w="708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518" w:type="dxa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详细特征描述</w:t>
            </w:r>
          </w:p>
        </w:tc>
        <w:tc>
          <w:tcPr>
            <w:tcW w:w="1449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制造厂商</w:t>
            </w:r>
          </w:p>
        </w:tc>
        <w:tc>
          <w:tcPr>
            <w:tcW w:w="701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6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022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820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图片</w:t>
            </w:r>
          </w:p>
        </w:tc>
        <w:tc>
          <w:tcPr>
            <w:tcW w:w="992" w:type="dxa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3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虚拟展馆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  <w:t>(硬件)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线上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065" w:type="dxa"/>
            <w:gridSpan w:val="14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2804" w:type="dxa"/>
            <w:gridSpan w:val="3"/>
            <w:tcBorders>
              <w:right w:val="single" w:color="auto" w:sz="12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45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105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2804" w:type="dxa"/>
            <w:gridSpan w:val="3"/>
            <w:tcBorders>
              <w:right w:val="single" w:color="auto" w:sz="12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065" w:type="dxa"/>
            <w:gridSpan w:val="14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804" w:type="dxa"/>
            <w:gridSpan w:val="3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992" w:type="dxa"/>
            <w:gridSpan w:val="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87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展区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展项名称</w:t>
            </w:r>
          </w:p>
        </w:tc>
        <w:tc>
          <w:tcPr>
            <w:tcW w:w="708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155" w:type="dxa"/>
            <w:gridSpan w:val="2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497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详细特征描述</w:t>
            </w:r>
          </w:p>
        </w:tc>
        <w:tc>
          <w:tcPr>
            <w:tcW w:w="1449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制造厂商</w:t>
            </w:r>
          </w:p>
        </w:tc>
        <w:tc>
          <w:tcPr>
            <w:tcW w:w="701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6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022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812" w:type="dxa"/>
            <w:gridSpan w:val="2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992" w:type="dxa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虚拟展馆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6"/>
                <w:szCs w:val="16"/>
              </w:rPr>
              <w:t>(软件)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线上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065" w:type="dxa"/>
            <w:gridSpan w:val="14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2804" w:type="dxa"/>
            <w:gridSpan w:val="3"/>
            <w:tcBorders>
              <w:right w:val="single" w:color="auto" w:sz="12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45" w:type="dxa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10520" w:type="dxa"/>
            <w:gridSpan w:val="11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4620" w:firstLineChars="22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2804" w:type="dxa"/>
            <w:gridSpan w:val="3"/>
            <w:tcBorders>
              <w:right w:val="single" w:color="auto" w:sz="12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2065" w:type="dxa"/>
            <w:gridSpan w:val="14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ind w:firstLine="5880" w:firstLineChars="28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804" w:type="dxa"/>
            <w:gridSpan w:val="3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before="312" w:beforeLines="10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7.</w:t>
      </w:r>
      <w:r>
        <w:rPr>
          <w:rFonts w:hint="eastAsia" w:ascii="仿宋" w:hAnsi="仿宋" w:eastAsia="仿宋"/>
          <w:b/>
          <w:bCs/>
          <w:sz w:val="32"/>
          <w:szCs w:val="32"/>
        </w:rPr>
        <w:t>暖通工程类项目投标报价明细表</w:t>
      </w:r>
    </w:p>
    <w:tbl>
      <w:tblPr>
        <w:tblStyle w:val="23"/>
        <w:tblW w:w="14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939"/>
        <w:gridCol w:w="130"/>
        <w:gridCol w:w="745"/>
        <w:gridCol w:w="1110"/>
        <w:gridCol w:w="774"/>
        <w:gridCol w:w="1134"/>
        <w:gridCol w:w="1656"/>
        <w:gridCol w:w="1423"/>
        <w:gridCol w:w="689"/>
        <w:gridCol w:w="854"/>
        <w:gridCol w:w="991"/>
        <w:gridCol w:w="939"/>
        <w:gridCol w:w="939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9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06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展项名称</w:t>
            </w:r>
          </w:p>
        </w:tc>
        <w:tc>
          <w:tcPr>
            <w:tcW w:w="745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10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774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656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详细特征描述</w:t>
            </w:r>
          </w:p>
        </w:tc>
        <w:tc>
          <w:tcPr>
            <w:tcW w:w="1423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制造厂商</w:t>
            </w:r>
          </w:p>
        </w:tc>
        <w:tc>
          <w:tcPr>
            <w:tcW w:w="68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5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91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939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939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图片</w:t>
            </w:r>
          </w:p>
        </w:tc>
        <w:tc>
          <w:tcPr>
            <w:tcW w:w="939" w:type="dxa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90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空调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（务必采用非水系统）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39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39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39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39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39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1835" w:type="dxa"/>
            <w:gridSpan w:val="12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281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32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9506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780" w:firstLineChars="18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281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1835" w:type="dxa"/>
            <w:gridSpan w:val="1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817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before="312" w:beforeLines="100" w:line="40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8.</w:t>
      </w:r>
      <w:r>
        <w:rPr>
          <w:rFonts w:hint="eastAsia" w:ascii="仿宋" w:hAnsi="仿宋" w:eastAsia="仿宋"/>
          <w:b/>
          <w:bCs/>
          <w:sz w:val="32"/>
          <w:szCs w:val="32"/>
        </w:rPr>
        <w:t>家具类项目投标报价明细表</w:t>
      </w:r>
    </w:p>
    <w:tbl>
      <w:tblPr>
        <w:tblStyle w:val="23"/>
        <w:tblW w:w="14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709"/>
        <w:gridCol w:w="935"/>
        <w:gridCol w:w="130"/>
        <w:gridCol w:w="742"/>
        <w:gridCol w:w="1106"/>
        <w:gridCol w:w="791"/>
        <w:gridCol w:w="1159"/>
        <w:gridCol w:w="1601"/>
        <w:gridCol w:w="1418"/>
        <w:gridCol w:w="686"/>
        <w:gridCol w:w="851"/>
        <w:gridCol w:w="983"/>
        <w:gridCol w:w="11"/>
        <w:gridCol w:w="924"/>
        <w:gridCol w:w="935"/>
        <w:gridCol w:w="935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674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展区</w:t>
            </w:r>
          </w:p>
        </w:tc>
        <w:tc>
          <w:tcPr>
            <w:tcW w:w="106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展项名称</w:t>
            </w:r>
          </w:p>
        </w:tc>
        <w:tc>
          <w:tcPr>
            <w:tcW w:w="742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06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791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159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601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详细特征描述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制造厂商</w:t>
            </w:r>
          </w:p>
        </w:tc>
        <w:tc>
          <w:tcPr>
            <w:tcW w:w="686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51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83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935" w:type="dxa"/>
            <w:gridSpan w:val="2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935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图片</w:t>
            </w:r>
          </w:p>
        </w:tc>
        <w:tc>
          <w:tcPr>
            <w:tcW w:w="935" w:type="dxa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674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家具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1.……</w:t>
            </w:r>
          </w:p>
        </w:tc>
        <w:tc>
          <w:tcPr>
            <w:tcW w:w="74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41" w:hRule="atLeast"/>
          <w:jc w:val="center"/>
        </w:trPr>
        <w:tc>
          <w:tcPr>
            <w:tcW w:w="674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41" w:hRule="atLeast"/>
          <w:jc w:val="center"/>
        </w:trPr>
        <w:tc>
          <w:tcPr>
            <w:tcW w:w="674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.……</w:t>
            </w:r>
          </w:p>
        </w:tc>
        <w:tc>
          <w:tcPr>
            <w:tcW w:w="74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41" w:hRule="atLeast"/>
          <w:jc w:val="center"/>
        </w:trPr>
        <w:tc>
          <w:tcPr>
            <w:tcW w:w="674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41" w:hRule="atLeast"/>
          <w:jc w:val="center"/>
        </w:trPr>
        <w:tc>
          <w:tcPr>
            <w:tcW w:w="674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74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41" w:hRule="atLeast"/>
          <w:jc w:val="center"/>
        </w:trPr>
        <w:tc>
          <w:tcPr>
            <w:tcW w:w="674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74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tcBorders>
              <w:right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1796" w:type="dxa"/>
            <w:gridSpan w:val="14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以上合计</w:t>
            </w:r>
          </w:p>
        </w:tc>
        <w:tc>
          <w:tcPr>
            <w:tcW w:w="2806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318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9478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570" w:firstLineChars="17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2806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1796" w:type="dxa"/>
            <w:gridSpan w:val="14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806" w:type="dxa"/>
            <w:gridSpan w:val="4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>
      <w:pPr>
        <w:sectPr>
          <w:pgSz w:w="16838" w:h="11906" w:orient="landscape"/>
          <w:pgMar w:top="1134" w:right="1701" w:bottom="1134" w:left="1474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spacing w:before="0"/>
        <w:ind w:firstLine="0" w:firstLineChars="0"/>
      </w:pPr>
      <w:r>
        <w:rPr>
          <w:rFonts w:hint="eastAsia"/>
        </w:rPr>
        <w:t>附件3：</w:t>
      </w:r>
    </w:p>
    <w:p>
      <w:pPr>
        <w:spacing w:line="4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南昌职业大学红色文化教育馆建设项目必要设备</w:t>
      </w:r>
    </w:p>
    <w:p>
      <w:pPr>
        <w:pStyle w:val="30"/>
        <w:numPr>
          <w:ilvl w:val="0"/>
          <w:numId w:val="1"/>
        </w:numPr>
        <w:spacing w:before="312" w:beforeLines="100" w:line="40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展区内必须采用</w:t>
      </w:r>
      <w:r>
        <w:rPr>
          <w:rFonts w:ascii="仿宋" w:hAnsi="仿宋" w:eastAsia="仿宋"/>
          <w:sz w:val="32"/>
          <w:szCs w:val="32"/>
        </w:rPr>
        <w:t>VR</w:t>
      </w:r>
      <w:r>
        <w:rPr>
          <w:rFonts w:hint="eastAsia" w:ascii="仿宋" w:hAnsi="仿宋" w:eastAsia="仿宋"/>
          <w:sz w:val="32"/>
          <w:szCs w:val="32"/>
        </w:rPr>
        <w:t>手法进行场景再现，增强参与互动；</w:t>
      </w:r>
    </w:p>
    <w:p>
      <w:pPr>
        <w:pStyle w:val="30"/>
        <w:numPr>
          <w:ilvl w:val="0"/>
          <w:numId w:val="1"/>
        </w:numPr>
        <w:spacing w:before="312" w:beforeLines="100" w:line="400" w:lineRule="exact"/>
        <w:ind w:firstLineChars="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展区内务必配备模型、沙盘、实物等展示；</w:t>
      </w:r>
    </w:p>
    <w:p>
      <w:pPr>
        <w:pStyle w:val="30"/>
        <w:numPr>
          <w:ilvl w:val="0"/>
          <w:numId w:val="1"/>
        </w:numPr>
        <w:spacing w:before="312" w:beforeLines="100" w:line="400" w:lineRule="exact"/>
        <w:ind w:firstLineChars="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展区内务必采用声光电等增强演示效果；</w:t>
      </w:r>
    </w:p>
    <w:p>
      <w:pPr>
        <w:pStyle w:val="30"/>
        <w:numPr>
          <w:ilvl w:val="0"/>
          <w:numId w:val="1"/>
        </w:numPr>
        <w:spacing w:before="312" w:beforeLines="100" w:line="400" w:lineRule="exact"/>
        <w:ind w:firstLineChars="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展区内务必配备触摸或点击翻阅文字和播放音频、视频的设备，补充不能进行大篇幅图文展示的内容；</w:t>
      </w:r>
    </w:p>
    <w:p>
      <w:pPr>
        <w:pStyle w:val="30"/>
        <w:numPr>
          <w:ilvl w:val="0"/>
          <w:numId w:val="1"/>
        </w:numPr>
        <w:spacing w:before="312" w:beforeLines="100" w:line="400" w:lineRule="exact"/>
        <w:ind w:firstLineChars="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展区内务必配备投影、L</w:t>
      </w:r>
      <w:r>
        <w:rPr>
          <w:rFonts w:ascii="仿宋" w:hAnsi="仿宋" w:eastAsia="仿宋" w:cs="黑体"/>
          <w:sz w:val="32"/>
          <w:szCs w:val="32"/>
        </w:rPr>
        <w:t>ED</w:t>
      </w:r>
      <w:r>
        <w:rPr>
          <w:rFonts w:hint="eastAsia" w:ascii="仿宋" w:hAnsi="仿宋" w:eastAsia="仿宋" w:cs="黑体"/>
          <w:sz w:val="32"/>
          <w:szCs w:val="32"/>
        </w:rPr>
        <w:t>（国内一流品牌）、</w:t>
      </w:r>
      <w:r>
        <w:rPr>
          <w:rFonts w:ascii="仿宋" w:hAnsi="仿宋" w:eastAsia="仿宋" w:cs="黑体"/>
          <w:sz w:val="32"/>
          <w:szCs w:val="32"/>
        </w:rPr>
        <w:t>LCD</w:t>
      </w:r>
      <w:r>
        <w:rPr>
          <w:rFonts w:hint="eastAsia" w:ascii="仿宋" w:hAnsi="仿宋" w:eastAsia="仿宋" w:cs="黑体"/>
          <w:sz w:val="32"/>
          <w:szCs w:val="32"/>
        </w:rPr>
        <w:t>等显示屏演示；</w:t>
      </w:r>
    </w:p>
    <w:p>
      <w:pPr>
        <w:pStyle w:val="30"/>
        <w:numPr>
          <w:ilvl w:val="0"/>
          <w:numId w:val="1"/>
        </w:numPr>
        <w:spacing w:before="312" w:beforeLines="100" w:line="400" w:lineRule="exact"/>
        <w:ind w:firstLineChars="0"/>
        <w:rPr>
          <w:rFonts w:ascii="仿宋" w:hAnsi="仿宋" w:eastAsia="仿宋" w:cs="黑体"/>
          <w:sz w:val="32"/>
          <w:szCs w:val="32"/>
        </w:rPr>
        <w:sectPr>
          <w:pgSz w:w="11906" w:h="16838"/>
          <w:pgMar w:top="1701" w:right="1134" w:bottom="1474" w:left="1134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仿宋" w:hAnsi="仿宋" w:eastAsia="仿宋" w:cs="黑体"/>
          <w:sz w:val="32"/>
          <w:szCs w:val="32"/>
        </w:rPr>
        <w:t>多功能厅：电子黑板、显示屏；并设计一排位置进行V</w:t>
      </w:r>
      <w:r>
        <w:rPr>
          <w:rFonts w:ascii="仿宋" w:hAnsi="仿宋" w:eastAsia="仿宋" w:cs="黑体"/>
          <w:sz w:val="32"/>
          <w:szCs w:val="32"/>
        </w:rPr>
        <w:t>R</w:t>
      </w:r>
      <w:r>
        <w:rPr>
          <w:rFonts w:hint="eastAsia" w:ascii="仿宋" w:hAnsi="仿宋" w:eastAsia="仿宋" w:cs="黑体"/>
          <w:sz w:val="32"/>
          <w:szCs w:val="32"/>
        </w:rPr>
        <w:t>体验。</w:t>
      </w:r>
    </w:p>
    <w:p>
      <w:pPr>
        <w:spacing w:line="56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附件4：</w:t>
      </w:r>
    </w:p>
    <w:p>
      <w:pPr>
        <w:spacing w:line="4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南昌职业大学红色文化教育馆建设项目平面图</w:t>
      </w:r>
    </w:p>
    <w:p>
      <w:pPr>
        <w:spacing w:line="4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eastAsia="方正小标宋简体"/>
          <w:bCs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7739380</wp:posOffset>
                </wp:positionV>
                <wp:extent cx="5962650" cy="1404620"/>
                <wp:effectExtent l="0" t="0" r="0" b="635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注：</w:t>
                            </w:r>
                            <w:r>
                              <w:rPr>
                                <w:b/>
                                <w:bCs/>
                              </w:rPr>
                              <w:t>实际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面积以各公司到校</w:t>
                            </w:r>
                            <w:r>
                              <w:rPr>
                                <w:rFonts w:hint="eastAsia" w:ascii="Times New Roman"/>
                                <w:b/>
                                <w:bCs/>
                                <w:szCs w:val="21"/>
                              </w:rPr>
                              <w:t>踏勘现场为准。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4.3pt;margin-top:609.4pt;height:110.6pt;width:469.5pt;mso-wrap-distance-bottom:3.6pt;mso-wrap-distance-left:9pt;mso-wrap-distance-right:9pt;mso-wrap-distance-top:3.6pt;z-index:251660288;mso-width-relative:page;mso-height-relative:margin;mso-height-percent:200;" filled="f" stroked="f" coordsize="21600,21600" o:gfxdata="UEsDBAoAAAAAAIdO4kAAAAAAAAAAAAAAAAAEAAAAZHJzL1BLAwQUAAAACACHTuJAPfYj/9cAAAAL&#10;AQAADwAAAGRycy9kb3ducmV2LnhtbE2PzU7DMBCE70i8g7VI3KidKGpDGqdCqC1HoEQ9u/GSRMQ/&#10;st20vD3LCY47O5r5pt5czcRmDHF0VkK2EMDQdk6PtpfQfuweSmAxKavV5CxK+MYIm+b2plaVdhf7&#10;jvMh9YxCbKyUhCElX3EeuwGNigvn0dLv0wWjEp2h5zqoC4WbiedCLLlRo6WGQXl8HrD7OpyNBJ/8&#10;fvUSXt+etrtZtMd9m4/9Vsr7u0ysgSW8pj8z/OITOjTEdHJnqyObJJRLMpKcZyVNIMNjsSLpRFJR&#10;CAG8qfn/Dc0PUEsDBBQAAAAIAIdO4kDrDCAvKAIAACwEAAAOAAAAZHJzL2Uyb0RvYy54bWytU0tu&#10;2zAQ3RfoHQjua31gO7FgOUhjuCiQfoC0B6ApyiIqcliStpQeoL1BVt1033P5HB1SimukmyyqhUBy&#10;OG/mvXlcXvWqJQdhnQRd0mySUiI0h0rqXUk/f9q8uqTEeaYr1oIWJb0Xjl6tXr5YdqYQOTTQVsIS&#10;BNGu6ExJG+9NkSSON0IxNwEjNAZrsIp53NpdUlnWIbpqkzxN50kHtjIWuHAOT9dDkI6I9jmAUNeS&#10;izXwvRLaD6hWtMwjJddI4+gqdlvXgvsPde2EJ21JkamPfyyC6234J6slK3aWmUbysQX2nBaecFJM&#10;aix6glozz8jeyn+glOQWHNR+wkElA5GoCLLI0ifa3DXMiMgFpXbmJLr7f7D8/eGjJbIqaZ5dUKKZ&#10;wpEfH34cf/4+/vpO8iBQZ1yB9+4M3vT9a+jRNpGsM7fAvzii4aZheieurYWuEazCBrOQmZylDjgu&#10;gGy7d1BhHbb3EIH62qqgHupBEB2Hc38ajug94Xg4W8zz+QxDHGPZNJ3O8zi+hBWP6cY6/0aAImFR&#10;UovTj/DscOt8aIcVj1dCNQ0b2bbRAa0mXUkXs3wWE84iSnq0eytVSS/T8EVerGj1SC8wGrj5ftuP&#10;cm2hukeiFgbD4XPDRQP2GyUdmq2k7uueWUFJ+1ajWItsOg3ujJvp7AKZEXse2Z5HmOYIVVJPybC8&#10;8dHRgZMz1yjqRka6Qf2hk7FXNFFUYTR8cOn5Pt76+8hX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99iP/1wAAAAsBAAAPAAAAAAAAAAEAIAAAACIAAABkcnMvZG93bnJldi54bWxQSwECFAAUAAAA&#10;CACHTuJA6wwgLygCAAAsBAAADgAAAAAAAAABACAAAAAmAQAAZHJzL2Uyb0RvYy54bWxQSwUGAAAA&#10;AAYABgBZAQAAw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注：</w:t>
                      </w:r>
                      <w:r>
                        <w:rPr>
                          <w:b/>
                          <w:bCs/>
                        </w:rPr>
                        <w:t>实际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面积以各公司到校</w:t>
                      </w:r>
                      <w:r>
                        <w:rPr>
                          <w:rFonts w:hint="eastAsia" w:ascii="Times New Roman"/>
                          <w:b/>
                          <w:bCs/>
                          <w:szCs w:val="21"/>
                        </w:rPr>
                        <w:t>踏勘现场为准。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264795</wp:posOffset>
            </wp:positionV>
            <wp:extent cx="5509895" cy="7798435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9895" cy="779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b/>
          <w:bCs/>
          <w:sz w:val="32"/>
          <w:szCs w:val="32"/>
        </w:rPr>
        <w:t>（详细图纸见电子附件）</w:t>
      </w:r>
    </w:p>
    <w:sectPr>
      <w:pgSz w:w="11906" w:h="16838"/>
      <w:pgMar w:top="1701" w:right="1134" w:bottom="147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ascii="仿宋_GB2312" w:eastAsia="仿宋_GB2312"/>
        <w:sz w:val="22"/>
        <w:szCs w:val="22"/>
      </w:rPr>
    </w:pPr>
    <w:r>
      <w:rPr>
        <w:rFonts w:hint="eastAsia" w:ascii="仿宋_GB2312" w:eastAsia="仿宋_GB2312"/>
        <w:sz w:val="22"/>
        <w:szCs w:val="22"/>
      </w:rPr>
      <w:fldChar w:fldCharType="begin"/>
    </w:r>
    <w:r>
      <w:rPr>
        <w:rFonts w:hint="eastAsia" w:ascii="仿宋_GB2312" w:eastAsia="仿宋_GB2312"/>
        <w:sz w:val="22"/>
        <w:szCs w:val="22"/>
      </w:rPr>
      <w:instrText xml:space="preserve">PAGE</w:instrText>
    </w:r>
    <w:r>
      <w:rPr>
        <w:rFonts w:hint="eastAsia" w:ascii="仿宋_GB2312" w:eastAsia="仿宋_GB2312"/>
        <w:sz w:val="22"/>
        <w:szCs w:val="22"/>
      </w:rPr>
      <w:fldChar w:fldCharType="separate"/>
    </w:r>
    <w:r>
      <w:rPr>
        <w:rFonts w:hint="eastAsia" w:ascii="仿宋_GB2312" w:eastAsia="仿宋_GB2312"/>
        <w:sz w:val="22"/>
        <w:szCs w:val="22"/>
      </w:rPr>
      <w:t>1</w:t>
    </w:r>
    <w:r>
      <w:rPr>
        <w:rFonts w:hint="eastAsia" w:ascii="仿宋_GB2312" w:eastAsia="仿宋_GB2312"/>
        <w:sz w:val="22"/>
        <w:szCs w:val="22"/>
      </w:rPr>
      <w:fldChar w:fldCharType="end"/>
    </w:r>
    <w:r>
      <w:rPr>
        <w:rFonts w:hint="eastAsia" w:ascii="仿宋_GB2312" w:eastAsia="仿宋_GB2312"/>
        <w:sz w:val="22"/>
        <w:szCs w:val="22"/>
        <w:lang w:val="zh-CN"/>
      </w:rPr>
      <w:t xml:space="preserve"> / </w:t>
    </w:r>
    <w:r>
      <w:rPr>
        <w:rFonts w:hint="eastAsia" w:ascii="仿宋_GB2312" w:eastAsia="仿宋_GB2312"/>
        <w:sz w:val="22"/>
        <w:szCs w:val="22"/>
      </w:rPr>
      <w:fldChar w:fldCharType="begin"/>
    </w:r>
    <w:r>
      <w:rPr>
        <w:rFonts w:hint="eastAsia" w:ascii="仿宋_GB2312" w:eastAsia="仿宋_GB2312"/>
        <w:sz w:val="22"/>
        <w:szCs w:val="22"/>
      </w:rPr>
      <w:instrText xml:space="preserve">NUMPAGES</w:instrText>
    </w:r>
    <w:r>
      <w:rPr>
        <w:rFonts w:hint="eastAsia" w:ascii="仿宋_GB2312" w:eastAsia="仿宋_GB2312"/>
        <w:sz w:val="22"/>
        <w:szCs w:val="22"/>
      </w:rPr>
      <w:fldChar w:fldCharType="separate"/>
    </w:r>
    <w:r>
      <w:rPr>
        <w:rFonts w:hint="eastAsia" w:ascii="仿宋_GB2312" w:eastAsia="仿宋_GB2312"/>
        <w:sz w:val="22"/>
        <w:szCs w:val="22"/>
      </w:rPr>
      <w:t>31</w:t>
    </w:r>
    <w:r>
      <w:rPr>
        <w:rFonts w:hint="eastAsia" w:ascii="仿宋_GB2312" w:eastAsia="仿宋_GB2312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C0ECE"/>
    <w:multiLevelType w:val="multilevel"/>
    <w:tmpl w:val="057C0EC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xODIwYzEyZTEzMjZiMWRkZjhkN2MxZDY0YzFhM2YifQ=="/>
  </w:docVars>
  <w:rsids>
    <w:rsidRoot w:val="00E344B0"/>
    <w:rsid w:val="000104FE"/>
    <w:rsid w:val="000430DE"/>
    <w:rsid w:val="00043DA9"/>
    <w:rsid w:val="00052C23"/>
    <w:rsid w:val="000644E4"/>
    <w:rsid w:val="000824F0"/>
    <w:rsid w:val="000E226E"/>
    <w:rsid w:val="000E7324"/>
    <w:rsid w:val="00103EEA"/>
    <w:rsid w:val="001063C1"/>
    <w:rsid w:val="0011018C"/>
    <w:rsid w:val="00151883"/>
    <w:rsid w:val="00151F55"/>
    <w:rsid w:val="0016058A"/>
    <w:rsid w:val="001712B5"/>
    <w:rsid w:val="001A602A"/>
    <w:rsid w:val="001C22B1"/>
    <w:rsid w:val="001E54FF"/>
    <w:rsid w:val="001E57F9"/>
    <w:rsid w:val="001E61B5"/>
    <w:rsid w:val="001F78E7"/>
    <w:rsid w:val="00210CC9"/>
    <w:rsid w:val="00224DE7"/>
    <w:rsid w:val="002358D9"/>
    <w:rsid w:val="002F6C55"/>
    <w:rsid w:val="0031305A"/>
    <w:rsid w:val="00342F92"/>
    <w:rsid w:val="00346322"/>
    <w:rsid w:val="0036579A"/>
    <w:rsid w:val="00374448"/>
    <w:rsid w:val="003E2D00"/>
    <w:rsid w:val="00417A05"/>
    <w:rsid w:val="00443FDE"/>
    <w:rsid w:val="00452885"/>
    <w:rsid w:val="00453D00"/>
    <w:rsid w:val="0046288F"/>
    <w:rsid w:val="00462DBA"/>
    <w:rsid w:val="0047076D"/>
    <w:rsid w:val="00471C2D"/>
    <w:rsid w:val="004778B3"/>
    <w:rsid w:val="00482E01"/>
    <w:rsid w:val="00486AC1"/>
    <w:rsid w:val="004B3428"/>
    <w:rsid w:val="004E3D27"/>
    <w:rsid w:val="004E6B52"/>
    <w:rsid w:val="0050365B"/>
    <w:rsid w:val="005062BC"/>
    <w:rsid w:val="00526AFE"/>
    <w:rsid w:val="005276CC"/>
    <w:rsid w:val="005B53F1"/>
    <w:rsid w:val="005D5F9D"/>
    <w:rsid w:val="005D7952"/>
    <w:rsid w:val="005F75DD"/>
    <w:rsid w:val="005F770A"/>
    <w:rsid w:val="00612C74"/>
    <w:rsid w:val="00644F32"/>
    <w:rsid w:val="00657E35"/>
    <w:rsid w:val="00696F2D"/>
    <w:rsid w:val="006D0244"/>
    <w:rsid w:val="006D4EEF"/>
    <w:rsid w:val="006D7E2D"/>
    <w:rsid w:val="006E30BA"/>
    <w:rsid w:val="006E754B"/>
    <w:rsid w:val="00700F41"/>
    <w:rsid w:val="007040FD"/>
    <w:rsid w:val="00712E12"/>
    <w:rsid w:val="0071775B"/>
    <w:rsid w:val="0073318A"/>
    <w:rsid w:val="00754859"/>
    <w:rsid w:val="00762C07"/>
    <w:rsid w:val="007C09E0"/>
    <w:rsid w:val="007C4BA1"/>
    <w:rsid w:val="007C61FE"/>
    <w:rsid w:val="007D0917"/>
    <w:rsid w:val="007D34D5"/>
    <w:rsid w:val="007F7746"/>
    <w:rsid w:val="008301D8"/>
    <w:rsid w:val="00831E79"/>
    <w:rsid w:val="00847D95"/>
    <w:rsid w:val="00852725"/>
    <w:rsid w:val="008540A6"/>
    <w:rsid w:val="008B3E99"/>
    <w:rsid w:val="008B6E6F"/>
    <w:rsid w:val="008E6D21"/>
    <w:rsid w:val="008E7D0B"/>
    <w:rsid w:val="00901560"/>
    <w:rsid w:val="00922CF8"/>
    <w:rsid w:val="00943A61"/>
    <w:rsid w:val="00962876"/>
    <w:rsid w:val="009755E9"/>
    <w:rsid w:val="00992A0C"/>
    <w:rsid w:val="009B5294"/>
    <w:rsid w:val="009C5AA5"/>
    <w:rsid w:val="009D1936"/>
    <w:rsid w:val="009D1C46"/>
    <w:rsid w:val="009E4EB7"/>
    <w:rsid w:val="009F4B7D"/>
    <w:rsid w:val="00A138DB"/>
    <w:rsid w:val="00A46C7B"/>
    <w:rsid w:val="00AC12B4"/>
    <w:rsid w:val="00AC1408"/>
    <w:rsid w:val="00AE4D4D"/>
    <w:rsid w:val="00AE68B0"/>
    <w:rsid w:val="00AE6BF1"/>
    <w:rsid w:val="00B00D09"/>
    <w:rsid w:val="00B83624"/>
    <w:rsid w:val="00BF2900"/>
    <w:rsid w:val="00C11186"/>
    <w:rsid w:val="00C15380"/>
    <w:rsid w:val="00C81F59"/>
    <w:rsid w:val="00C85929"/>
    <w:rsid w:val="00CC235C"/>
    <w:rsid w:val="00CC721E"/>
    <w:rsid w:val="00D024DE"/>
    <w:rsid w:val="00D13FB1"/>
    <w:rsid w:val="00D16BF7"/>
    <w:rsid w:val="00D30595"/>
    <w:rsid w:val="00D5407D"/>
    <w:rsid w:val="00D564BE"/>
    <w:rsid w:val="00D6616F"/>
    <w:rsid w:val="00D74568"/>
    <w:rsid w:val="00D9222D"/>
    <w:rsid w:val="00DD2E61"/>
    <w:rsid w:val="00DF5D31"/>
    <w:rsid w:val="00E26012"/>
    <w:rsid w:val="00E344B0"/>
    <w:rsid w:val="00E53334"/>
    <w:rsid w:val="00E5584E"/>
    <w:rsid w:val="00E73A7C"/>
    <w:rsid w:val="00E82E24"/>
    <w:rsid w:val="00EA1331"/>
    <w:rsid w:val="00EB499F"/>
    <w:rsid w:val="00EC5288"/>
    <w:rsid w:val="00EE17D7"/>
    <w:rsid w:val="00EE33A5"/>
    <w:rsid w:val="00F2368B"/>
    <w:rsid w:val="00F33211"/>
    <w:rsid w:val="00F406C1"/>
    <w:rsid w:val="00F41179"/>
    <w:rsid w:val="00F950D5"/>
    <w:rsid w:val="00FF55B6"/>
    <w:rsid w:val="0715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120" w:line="300" w:lineRule="auto"/>
      <w:ind w:firstLine="200" w:firstLineChars="200"/>
      <w:outlineLvl w:val="0"/>
    </w:pPr>
    <w:rPr>
      <w:rFonts w:ascii="Times New Roman" w:hAnsi="Times New Roman"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spacing w:line="360" w:lineRule="auto"/>
      <w:outlineLvl w:val="1"/>
    </w:pPr>
    <w:rPr>
      <w:rFonts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43"/>
    <w:unhideWhenUsed/>
    <w:qFormat/>
    <w:uiPriority w:val="9"/>
    <w:pPr>
      <w:spacing w:line="360" w:lineRule="auto"/>
      <w:outlineLvl w:val="2"/>
    </w:pPr>
    <w:rPr>
      <w:rFonts w:asciiTheme="minorHAnsi" w:hAnsiTheme="minorHAnsi" w:cstheme="minorBidi"/>
      <w:bCs/>
      <w:sz w:val="24"/>
      <w:szCs w:val="32"/>
    </w:rPr>
  </w:style>
  <w:style w:type="paragraph" w:styleId="5">
    <w:name w:val="heading 4"/>
    <w:basedOn w:val="1"/>
    <w:next w:val="1"/>
    <w:link w:val="4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44"/>
    <w:unhideWhenUsed/>
    <w:uiPriority w:val="9"/>
    <w:pPr>
      <w:spacing w:line="360" w:lineRule="auto"/>
      <w:outlineLvl w:val="4"/>
    </w:pPr>
    <w:rPr>
      <w:rFonts w:asciiTheme="minorHAnsi" w:hAnsiTheme="minorHAnsi" w:cstheme="minorBidi"/>
      <w:bCs/>
      <w:sz w:val="24"/>
      <w:szCs w:val="28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nhideWhenUsed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8">
    <w:name w:val="Body Text"/>
    <w:basedOn w:val="1"/>
    <w:link w:val="49"/>
    <w:qFormat/>
    <w:uiPriority w:val="99"/>
    <w:pPr>
      <w:tabs>
        <w:tab w:val="center" w:pos="8100"/>
      </w:tabs>
      <w:spacing w:beforeLines="50" w:line="360" w:lineRule="auto"/>
      <w:ind w:left="2041" w:firstLine="505"/>
    </w:pPr>
    <w:rPr>
      <w:rFonts w:ascii="Times New Roman" w:hAnsi="Times New Roman" w:eastAsia="仿宋_GB2312" w:cs="Times New Roman"/>
      <w:snapToGrid w:val="0"/>
      <w:kern w:val="0"/>
      <w:sz w:val="32"/>
      <w:szCs w:val="20"/>
    </w:rPr>
  </w:style>
  <w:style w:type="paragraph" w:styleId="9">
    <w:name w:val="Body Text Indent"/>
    <w:basedOn w:val="1"/>
    <w:qFormat/>
    <w:uiPriority w:val="99"/>
    <w:pPr>
      <w:spacing w:after="120"/>
      <w:ind w:left="420" w:leftChars="200"/>
    </w:pPr>
  </w:style>
  <w:style w:type="paragraph" w:styleId="10">
    <w:name w:val="toc 5"/>
    <w:basedOn w:val="1"/>
    <w:next w:val="1"/>
    <w:unhideWhenUsed/>
    <w:uiPriority w:val="39"/>
    <w:pPr>
      <w:ind w:left="1680" w:leftChars="800"/>
    </w:pPr>
    <w:rPr>
      <w:rFonts w:asciiTheme="minorHAnsi" w:hAnsiTheme="minorHAnsi" w:eastAsiaTheme="minorEastAsia" w:cstheme="minorBidi"/>
      <w:szCs w:val="22"/>
    </w:rPr>
  </w:style>
  <w:style w:type="paragraph" w:styleId="11">
    <w:name w:val="toc 3"/>
    <w:basedOn w:val="1"/>
    <w:next w:val="1"/>
    <w:unhideWhenUsed/>
    <w:uiPriority w:val="39"/>
    <w:pPr>
      <w:spacing w:line="360" w:lineRule="auto"/>
      <w:ind w:left="840" w:leftChars="400"/>
    </w:pPr>
    <w:rPr>
      <w:rFonts w:asciiTheme="minorHAnsi" w:hAnsiTheme="minorHAnsi" w:cstheme="minorBidi"/>
      <w:sz w:val="24"/>
      <w:szCs w:val="22"/>
    </w:rPr>
  </w:style>
  <w:style w:type="paragraph" w:styleId="12">
    <w:name w:val="toc 8"/>
    <w:basedOn w:val="1"/>
    <w:next w:val="1"/>
    <w:unhideWhenUsed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13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6">
    <w:name w:val="toc 4"/>
    <w:basedOn w:val="1"/>
    <w:next w:val="1"/>
    <w:unhideWhenUsed/>
    <w:uiPriority w:val="39"/>
    <w:pPr>
      <w:ind w:left="1260" w:leftChars="600"/>
    </w:pPr>
    <w:rPr>
      <w:rFonts w:asciiTheme="minorHAnsi" w:hAnsiTheme="minorHAnsi" w:eastAsiaTheme="minorEastAsia" w:cstheme="minorBidi"/>
      <w:szCs w:val="22"/>
    </w:rPr>
  </w:style>
  <w:style w:type="paragraph" w:styleId="17">
    <w:name w:val="toc 6"/>
    <w:basedOn w:val="1"/>
    <w:next w:val="1"/>
    <w:unhideWhenUsed/>
    <w:uiPriority w:val="39"/>
    <w:pPr>
      <w:ind w:left="2100" w:leftChars="1000"/>
    </w:pPr>
    <w:rPr>
      <w:rFonts w:asciiTheme="minorHAnsi" w:hAnsiTheme="minorHAnsi" w:eastAsiaTheme="minorEastAsia" w:cstheme="minorBidi"/>
      <w:szCs w:val="22"/>
    </w:rPr>
  </w:style>
  <w:style w:type="paragraph" w:styleId="18">
    <w:name w:val="toc 2"/>
    <w:basedOn w:val="1"/>
    <w:next w:val="1"/>
    <w:unhideWhenUsed/>
    <w:uiPriority w:val="39"/>
    <w:pPr>
      <w:spacing w:line="360" w:lineRule="auto"/>
      <w:ind w:left="420" w:leftChars="200"/>
    </w:pPr>
    <w:rPr>
      <w:rFonts w:asciiTheme="minorHAnsi" w:hAnsiTheme="minorHAnsi" w:cstheme="minorBidi"/>
      <w:sz w:val="24"/>
      <w:szCs w:val="22"/>
    </w:rPr>
  </w:style>
  <w:style w:type="paragraph" w:styleId="19">
    <w:name w:val="toc 9"/>
    <w:basedOn w:val="1"/>
    <w:next w:val="1"/>
    <w:unhideWhenUsed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20">
    <w:name w:val="Body Text 2"/>
    <w:basedOn w:val="1"/>
    <w:link w:val="52"/>
    <w:uiPriority w:val="0"/>
    <w:pPr>
      <w:spacing w:after="120" w:line="480" w:lineRule="auto"/>
    </w:pPr>
    <w:rPr>
      <w:rFonts w:ascii="Times New Roman" w:hAnsi="Times New Roman" w:cs="Times New Roman"/>
      <w:szCs w:val="20"/>
    </w:rPr>
  </w:style>
  <w:style w:type="paragraph" w:styleId="21">
    <w:name w:val="Title"/>
    <w:basedOn w:val="1"/>
    <w:next w:val="1"/>
    <w:link w:val="45"/>
    <w:qFormat/>
    <w:uiPriority w:val="10"/>
    <w:pPr>
      <w:spacing w:line="360" w:lineRule="auto"/>
      <w:jc w:val="left"/>
      <w:outlineLvl w:val="0"/>
    </w:pPr>
    <w:rPr>
      <w:rFonts w:asciiTheme="majorHAnsi" w:hAnsiTheme="majorHAnsi" w:cstheme="majorBidi"/>
      <w:b/>
      <w:bCs/>
      <w:sz w:val="24"/>
      <w:szCs w:val="32"/>
    </w:rPr>
  </w:style>
  <w:style w:type="paragraph" w:styleId="22">
    <w:name w:val="Body Text First Indent 2"/>
    <w:basedOn w:val="9"/>
    <w:next w:val="1"/>
    <w:qFormat/>
    <w:uiPriority w:val="99"/>
    <w:pPr>
      <w:spacing w:before="100" w:beforeAutospacing="1"/>
      <w:ind w:firstLine="420" w:firstLineChars="200"/>
    </w:pPr>
    <w:rPr>
      <w:rFonts w:cs="Times New Roman"/>
      <w:szCs w:val="21"/>
    </w:rPr>
  </w:style>
  <w:style w:type="table" w:styleId="24">
    <w:name w:val="Table Grid"/>
    <w:basedOn w:val="2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FollowedHyperlink"/>
    <w:basedOn w:val="25"/>
    <w:semiHidden/>
    <w:unhideWhenUsed/>
    <w:uiPriority w:val="99"/>
    <w:rPr>
      <w:color w:val="800080"/>
      <w:u w:val="single"/>
    </w:rPr>
  </w:style>
  <w:style w:type="character" w:styleId="27">
    <w:name w:val="Hyperlink"/>
    <w:basedOn w:val="2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8">
    <w:name w:val="font31"/>
    <w:basedOn w:val="2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9">
    <w:name w:val="font21"/>
    <w:basedOn w:val="2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character" w:customStyle="1" w:styleId="31">
    <w:name w:val="font41"/>
    <w:basedOn w:val="25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32">
    <w:name w:val="font11"/>
    <w:basedOn w:val="2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3">
    <w:name w:val="font71"/>
    <w:basedOn w:val="25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paragraph" w:customStyle="1" w:styleId="34">
    <w:name w:val="Table Paragraph"/>
    <w:basedOn w:val="1"/>
    <w:qFormat/>
    <w:uiPriority w:val="1"/>
    <w:rPr>
      <w:rFonts w:cs="Times New Roman"/>
      <w:sz w:val="24"/>
    </w:rPr>
  </w:style>
  <w:style w:type="character" w:customStyle="1" w:styleId="35">
    <w:name w:val="页眉 字符"/>
    <w:basedOn w:val="25"/>
    <w:link w:val="14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36">
    <w:name w:val="页脚 字符"/>
    <w:basedOn w:val="25"/>
    <w:link w:val="13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37">
    <w:name w:val="font101"/>
    <w:basedOn w:val="25"/>
    <w:qFormat/>
    <w:uiPriority w:val="0"/>
    <w:rPr>
      <w:rFonts w:ascii="Calibri" w:hAnsi="Calibri" w:cs="Calibri"/>
      <w:color w:val="000000"/>
      <w:sz w:val="16"/>
      <w:szCs w:val="16"/>
      <w:u w:val="none"/>
    </w:rPr>
  </w:style>
  <w:style w:type="character" w:customStyle="1" w:styleId="38">
    <w:name w:val="font81"/>
    <w:basedOn w:val="2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39">
    <w:name w:val="font51"/>
    <w:basedOn w:val="2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40">
    <w:name w:val="标题 1 字符"/>
    <w:basedOn w:val="25"/>
    <w:link w:val="2"/>
    <w:uiPriority w:val="9"/>
    <w:rPr>
      <w:rFonts w:eastAsia="黑体" w:cs="宋体"/>
      <w:bCs/>
      <w:kern w:val="44"/>
      <w:sz w:val="32"/>
      <w:szCs w:val="44"/>
    </w:rPr>
  </w:style>
  <w:style w:type="character" w:customStyle="1" w:styleId="41">
    <w:name w:val="标题 4 字符"/>
    <w:basedOn w:val="25"/>
    <w:link w:val="5"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42">
    <w:name w:val="标题 2 字符"/>
    <w:basedOn w:val="25"/>
    <w:link w:val="3"/>
    <w:uiPriority w:val="9"/>
    <w:rPr>
      <w:rFonts w:asciiTheme="majorHAnsi" w:hAnsiTheme="majorHAnsi" w:cstheme="majorBidi"/>
      <w:b/>
      <w:bCs/>
      <w:kern w:val="2"/>
      <w:sz w:val="24"/>
      <w:szCs w:val="32"/>
    </w:rPr>
  </w:style>
  <w:style w:type="character" w:customStyle="1" w:styleId="43">
    <w:name w:val="标题 3 字符"/>
    <w:basedOn w:val="25"/>
    <w:link w:val="4"/>
    <w:uiPriority w:val="9"/>
    <w:rPr>
      <w:rFonts w:asciiTheme="minorHAnsi" w:hAnsiTheme="minorHAnsi" w:cstheme="minorBidi"/>
      <w:bCs/>
      <w:kern w:val="2"/>
      <w:sz w:val="24"/>
      <w:szCs w:val="32"/>
    </w:rPr>
  </w:style>
  <w:style w:type="character" w:customStyle="1" w:styleId="44">
    <w:name w:val="标题 5 字符"/>
    <w:basedOn w:val="25"/>
    <w:link w:val="6"/>
    <w:uiPriority w:val="9"/>
    <w:rPr>
      <w:rFonts w:asciiTheme="minorHAnsi" w:hAnsiTheme="minorHAnsi" w:cstheme="minorBidi"/>
      <w:bCs/>
      <w:kern w:val="2"/>
      <w:sz w:val="24"/>
      <w:szCs w:val="28"/>
    </w:rPr>
  </w:style>
  <w:style w:type="character" w:customStyle="1" w:styleId="45">
    <w:name w:val="标题 字符"/>
    <w:basedOn w:val="25"/>
    <w:link w:val="21"/>
    <w:uiPriority w:val="10"/>
    <w:rPr>
      <w:rFonts w:asciiTheme="majorHAnsi" w:hAnsiTheme="majorHAnsi" w:cstheme="majorBidi"/>
      <w:b/>
      <w:bCs/>
      <w:kern w:val="2"/>
      <w:sz w:val="24"/>
      <w:szCs w:val="32"/>
    </w:rPr>
  </w:style>
  <w:style w:type="paragraph" w:customStyle="1" w:styleId="46">
    <w:name w:val="标题3"/>
    <w:basedOn w:val="1"/>
    <w:next w:val="1"/>
    <w:link w:val="47"/>
    <w:qFormat/>
    <w:uiPriority w:val="0"/>
    <w:pPr>
      <w:spacing w:line="360" w:lineRule="auto"/>
      <w:outlineLvl w:val="2"/>
    </w:pPr>
    <w:rPr>
      <w:rFonts w:asciiTheme="minorHAnsi" w:hAnsiTheme="minorHAnsi" w:cstheme="minorBidi"/>
      <w:b/>
      <w:sz w:val="24"/>
      <w:szCs w:val="22"/>
    </w:rPr>
  </w:style>
  <w:style w:type="character" w:customStyle="1" w:styleId="47">
    <w:name w:val="标题3 字符"/>
    <w:basedOn w:val="25"/>
    <w:link w:val="46"/>
    <w:uiPriority w:val="0"/>
    <w:rPr>
      <w:rFonts w:asciiTheme="minorHAnsi" w:hAnsiTheme="minorHAnsi" w:cstheme="minorBidi"/>
      <w:b/>
      <w:kern w:val="2"/>
      <w:sz w:val="24"/>
      <w:szCs w:val="22"/>
    </w:rPr>
  </w:style>
  <w:style w:type="character" w:customStyle="1" w:styleId="48">
    <w:name w:val="正文文本 字符"/>
    <w:basedOn w:val="25"/>
    <w:semiHidden/>
    <w:uiPriority w:val="99"/>
    <w:rPr>
      <w:rFonts w:ascii="Calibri" w:hAnsi="Calibri" w:cs="宋体"/>
      <w:kern w:val="2"/>
      <w:sz w:val="21"/>
      <w:szCs w:val="24"/>
    </w:rPr>
  </w:style>
  <w:style w:type="character" w:customStyle="1" w:styleId="49">
    <w:name w:val="正文文本 字符1"/>
    <w:link w:val="8"/>
    <w:qFormat/>
    <w:uiPriority w:val="99"/>
    <w:rPr>
      <w:rFonts w:eastAsia="仿宋_GB2312"/>
      <w:snapToGrid w:val="0"/>
      <w:sz w:val="32"/>
    </w:rPr>
  </w:style>
  <w:style w:type="character" w:customStyle="1" w:styleId="50">
    <w:name w:val="hg正文 Char"/>
    <w:link w:val="51"/>
    <w:uiPriority w:val="0"/>
    <w:rPr>
      <w:rFonts w:ascii="仿宋_GB2312" w:hAnsi="宋体"/>
      <w:color w:val="000000"/>
      <w:sz w:val="24"/>
    </w:rPr>
  </w:style>
  <w:style w:type="paragraph" w:customStyle="1" w:styleId="51">
    <w:name w:val="hg正文"/>
    <w:basedOn w:val="1"/>
    <w:link w:val="50"/>
    <w:uiPriority w:val="0"/>
    <w:pPr>
      <w:spacing w:line="360" w:lineRule="auto"/>
    </w:pPr>
    <w:rPr>
      <w:rFonts w:ascii="仿宋_GB2312" w:hAnsi="宋体" w:cs="Times New Roman"/>
      <w:color w:val="000000"/>
      <w:kern w:val="0"/>
      <w:sz w:val="24"/>
      <w:szCs w:val="20"/>
    </w:rPr>
  </w:style>
  <w:style w:type="character" w:customStyle="1" w:styleId="52">
    <w:name w:val="正文文本 2 字符"/>
    <w:basedOn w:val="25"/>
    <w:link w:val="20"/>
    <w:uiPriority w:val="0"/>
    <w:rPr>
      <w:kern w:val="2"/>
      <w:sz w:val="21"/>
    </w:rPr>
  </w:style>
  <w:style w:type="paragraph" w:customStyle="1" w:styleId="53">
    <w:name w:val="表头文字居中"/>
    <w:basedOn w:val="1"/>
    <w:uiPriority w:val="0"/>
    <w:pPr>
      <w:spacing w:line="240" w:lineRule="exact"/>
      <w:jc w:val="center"/>
    </w:pPr>
    <w:rPr>
      <w:rFonts w:ascii="宋体" w:hAnsi="Times New Roman"/>
      <w:szCs w:val="21"/>
    </w:rPr>
  </w:style>
  <w:style w:type="paragraph" w:customStyle="1" w:styleId="54">
    <w:name w:val="TOC Heading"/>
    <w:basedOn w:val="2"/>
    <w:next w:val="1"/>
    <w:unhideWhenUsed/>
    <w:qFormat/>
    <w:uiPriority w:val="39"/>
    <w:pPr>
      <w:widowControl/>
      <w:spacing w:before="240" w:line="259" w:lineRule="auto"/>
      <w:ind w:firstLine="0" w:firstLineChars="0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Cs w:val="32"/>
    </w:rPr>
  </w:style>
  <w:style w:type="paragraph" w:customStyle="1" w:styleId="55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6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/>
      <w:kern w:val="0"/>
      <w:sz w:val="18"/>
      <w:szCs w:val="18"/>
    </w:rPr>
  </w:style>
  <w:style w:type="paragraph" w:customStyle="1" w:styleId="57">
    <w:name w:val="xl8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58">
    <w:name w:val="xl8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59">
    <w:name w:val="xl84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0">
    <w:name w:val="xl85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1">
    <w:name w:val="xl86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2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63">
    <w:name w:val="xl8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4">
    <w:name w:val="xl8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5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6">
    <w:name w:val="xl9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7">
    <w:name w:val="xl9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8">
    <w:name w:val="xl9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69">
    <w:name w:val="xl94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70">
    <w:name w:val="xl9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71">
    <w:name w:val="xl9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72">
    <w:name w:val="xl9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73">
    <w:name w:val="xl9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74">
    <w:name w:val="xl9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75">
    <w:name w:val="xl10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76">
    <w:name w:val="xl10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77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78">
    <w:name w:val="xl10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79">
    <w:name w:val="xl10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0">
    <w:name w:val="xl10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1">
    <w:name w:val="xl10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2">
    <w:name w:val="xl10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3">
    <w:name w:val="xl10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4">
    <w:name w:val="xl10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5">
    <w:name w:val="xl11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6">
    <w:name w:val="xl11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87">
    <w:name w:val="xl11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color w:val="FF0000"/>
      <w:kern w:val="0"/>
      <w:sz w:val="18"/>
      <w:szCs w:val="18"/>
    </w:rPr>
  </w:style>
  <w:style w:type="paragraph" w:customStyle="1" w:styleId="88">
    <w:name w:val="xl11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FF0000"/>
      <w:kern w:val="0"/>
      <w:sz w:val="18"/>
      <w:szCs w:val="18"/>
    </w:rPr>
  </w:style>
  <w:style w:type="paragraph" w:customStyle="1" w:styleId="89">
    <w:name w:val="xl11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90">
    <w:name w:val="xl11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91">
    <w:name w:val="xl11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92">
    <w:name w:val="xl11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93">
    <w:name w:val="xl11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color w:val="FF0000"/>
      <w:kern w:val="0"/>
      <w:sz w:val="18"/>
      <w:szCs w:val="18"/>
    </w:rPr>
  </w:style>
  <w:style w:type="paragraph" w:customStyle="1" w:styleId="94">
    <w:name w:val="xl11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color w:val="FF0000"/>
      <w:kern w:val="0"/>
      <w:sz w:val="18"/>
      <w:szCs w:val="18"/>
    </w:rPr>
  </w:style>
  <w:style w:type="paragraph" w:customStyle="1" w:styleId="95">
    <w:name w:val="xl12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96">
    <w:name w:val="xl12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97">
    <w:name w:val="xl12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98">
    <w:name w:val="xl12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99">
    <w:name w:val="xl1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00">
    <w:name w:val="xl1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01">
    <w:name w:val="xl1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02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03">
    <w:name w:val="xl128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04">
    <w:name w:val="xl12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05">
    <w:name w:val="xl130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06">
    <w:name w:val="xl131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07">
    <w:name w:val="xl1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4"/>
      <w:szCs w:val="14"/>
    </w:rPr>
  </w:style>
  <w:style w:type="paragraph" w:customStyle="1" w:styleId="108">
    <w:name w:val="xl1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09">
    <w:name w:val="xl1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10">
    <w:name w:val="xl1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1">
    <w:name w:val="xl1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12">
    <w:name w:val="xl1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13">
    <w:name w:val="xl1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4">
    <w:name w:val="xl1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5">
    <w:name w:val="xl1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6">
    <w:name w:val="xl1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18"/>
      <w:szCs w:val="18"/>
    </w:rPr>
  </w:style>
  <w:style w:type="paragraph" w:customStyle="1" w:styleId="117">
    <w:name w:val="xl1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8">
    <w:name w:val="xl1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19">
    <w:name w:val="xl1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0">
    <w:name w:val="xl1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1">
    <w:name w:val="xl1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2">
    <w:name w:val="xl1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23">
    <w:name w:val="xl1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24">
    <w:name w:val="xl1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5">
    <w:name w:val="xl1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6">
    <w:name w:val="xl15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7">
    <w:name w:val="xl1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8">
    <w:name w:val="xl1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29">
    <w:name w:val="xl1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30">
    <w:name w:val="xl15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31">
    <w:name w:val="xl1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32">
    <w:name w:val="xl15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33">
    <w:name w:val="xl15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34">
    <w:name w:val="xl1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35">
    <w:name w:val="xl16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36">
    <w:name w:val="xl16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37">
    <w:name w:val="xl16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38">
    <w:name w:val="xl16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39">
    <w:name w:val="xl16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0">
    <w:name w:val="xl16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41">
    <w:name w:val="xl166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42">
    <w:name w:val="xl167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143">
    <w:name w:val="xl168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4">
    <w:name w:val="xl169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5">
    <w:name w:val="xl170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6">
    <w:name w:val="xl171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7">
    <w:name w:val="xl172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8">
    <w:name w:val="xl17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49">
    <w:name w:val="xl174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50">
    <w:name w:val="xl175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character" w:customStyle="1" w:styleId="151">
    <w:name w:val="Unresolved Mention"/>
    <w:basedOn w:val="2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888F6E-677A-487B-A034-5E5B5BEB47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5093</Words>
  <Characters>5269</Characters>
  <Lines>53</Lines>
  <Paragraphs>15</Paragraphs>
  <TotalTime>0</TotalTime>
  <ScaleCrop>false</ScaleCrop>
  <LinksUpToDate>false</LinksUpToDate>
  <CharactersWithSpaces>5278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2022-11-11T11:23:00Z</dcterms:created>
  <dc:creator>蛋蛋君丶</dc:creator>
  <cp:lastModifiedBy>Dell</cp:lastModifiedBy>
  <cp:lastPrinted>2022-12-04T06:59:00Z</cp:lastPrinted>
  <dcterms:modified xsi:type="dcterms:W3CDTF">2022-12-04T12:23:58Z</dcterms:modified>
  <cp:revision>276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56FBB5D5D70648F0814D868AF2FF9054</vt:lpwstr>
  </property>
</Properties>
</file>