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附件一:</w:t>
      </w:r>
    </w:p>
    <w:tbl>
      <w:tblPr>
        <w:tblStyle w:val="7"/>
        <w:tblW w:w="13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18"/>
        <w:gridCol w:w="618"/>
        <w:gridCol w:w="7515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Style w:val="19"/>
                <w:lang w:val="en-US" w:eastAsia="zh-CN" w:bidi="ar"/>
              </w:rPr>
              <w:t>308会议</w:t>
            </w:r>
            <w:r>
              <w:rPr>
                <w:rStyle w:val="20"/>
                <w:lang w:val="en-US" w:eastAsia="zh-CN" w:bidi="ar"/>
              </w:rPr>
              <w:t>室升级改造招标参数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全彩高清LED显示屏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1、显示屏尺寸要求：宽＝3.6m ，高＝2.025m，为适应整体效果，分辨率宽＝2880，高＝1620，整屏面积＝7.29㎡。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2、封装方式：采用集成三合一COB封装1R1G1B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3、不接受OEM厂家产品，品牌具备完整的生产基地及全套生产设备。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4、像素间距≤1.25mm；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5、箱体材料：压铸铝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6、箱体平整度（mm）：≤0.1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7、维护方式：前维护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8、单点亮度校正：有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9、单点颜色校正：有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10、亮度色度校正存储：数据存在模组上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11、亮度（CD/㎡）：50-650无级调节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12、亮度均匀性：≥97%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13、色度均匀性：0.003Cx,Cy之内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14、灰度（bit）：16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15、刷新率（Hz）：3840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16、色温（K）：3200～9300可调节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17、水平视角（ °）：≥170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18、垂直视角（ °）：≥170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19、对比度 ≥6000:1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20、峰值功耗（W/m2）：440，平均功耗（W/m2）：150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21、显示屏通过GB/T 2423.3-2006恒定湿热实验后可正常工作；箱体通过GB/T 2423.17-2008盐雾实验样品未见腐蚀；箱体通过GB/T 2423.10-2008扫频耐久试验验之后结构无损伤；显示屏符合GB/T 4208-2017外壳防护等级IP65级防护能力。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22、LED模组采用共阴原理设计；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23、显示屏单个像素模块以水平夹角45度的方向施加150N，像素模块内像素点未破碎或脱落。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24、显示屏电磁兼容性能符合GB/T 17626.2-2006标准等级3判据B的要求，静电放电抗扰度符合B级要求；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25、显示屏符合GB/T18313-2001声学信息技术设备和通信标准，整屏噪音平均声压级＜6dB（球面半径1.5M处）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视频控制器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视频控制器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1.输入接口：2 ×HDMI 1.4，1 × DVI，1 × 3G-SDI（IN+LOOP），1 × 3.5mm 音频输入接口，输出接口 ：10 路千兆网口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2.最大带载 650 万像素，单台设备输出最大宽度 10240，高度 8192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 路 HDMI 1.3 输出接口 可用作输出预监或视频输出音频输入输出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4.支持 HDMI 伴随音频输入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5.支持 3.5mm 的独立音频输入、支持 3.5mm 独立音频输出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6.支持通过多功能卡进行音频输出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7.低至 1 帧延迟输出 低延迟开关开启、输入源同步开启，输入源到接收卡的延时可减少至 1 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8.3个图层 图层大小和位置可单独调节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9.支持图层按照 Z 序优先级调整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10.强大视频处理能力、搭载 SuperView III 画质处理技术、支持输出 画面无极缩放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11.支持一键全屏缩放、支持输入源任意截取画质调整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12.支持输入画质管理，包括亮度、对比度、饱和度 和色度调整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13.多场景保存和调用 支持 10 个用户可自定义场景保存和调用热备份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14.支持输入源热备功能 支持网口间备份 ，同步输出支持使用内部输入源作为同步源，保证输入输出 画面同步。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15.支持逐点亮色度校正 对每个灯点的亮度和色度进行校正，有效消除色差，使整屏的亮度和色度达到高度均匀一致，提高显示屏的画质。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20倍光学变焦1080P高清视频会议摄像头/会议摄像机/DVI/HD-SDI/AV分量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1080P(20倍光学变焦) 最高分辨率1920*1080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LED屏配电柜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1.具备手动控制设备供电的开启和关闭；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2.多组回路输出，每组可独立控制；标配为手动控制，可添加多种控制方式；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3.具备上电保护功能，具有防雷、过流、短路等保护；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4.标配检修多功能插座及检修照明开关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5.具有电源状态指示、运行状态指示；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6.内部线材均采用4平方国标纯铜导线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7.总开3P/60A, 交流接触器2510*2，输出3路1P/D32A,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模拟输入通道：8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模拟输出通道：8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处理器:ADI SHARC 21489@450 MHz SIMD；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DSP处理能力:400 MIPS，1.6 GFLOPS;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采样率:48 kHz，± 100 ppm;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THD+N:&lt;-100dB @17dBu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输入动态范围：110dB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输出动态范围：112dB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4路GIPO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1路RS232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1路RS485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内置USB声卡，支持音乐播放、录制和软视频会议（如：ZOOM，腾讯会议，钉钉会议等）;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总线式AEC，尾长时间：512ms，收敛率：60dB/S, 回声消除幅度：60dB；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独立通道的AFC（反馈抑制），采用陷波式算法，传声增益提升幅度：10dB;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噪声抑制（ANS），信噪比提升18dB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8段英式参量均衡，提供5种滤波器选择：Parametric,Lowshelf,Highshelf,Lowpass,Highpass；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提供终端用户订制操作界面，最大支持30台设备同一个界面管理；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具有中央控制功能，可对系统中的电源、信号切换、环境控制、音频等整体控制，实现一键开启系统所需要的功能。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308大屏迁移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308会议室原有大屏拆卸迁移，安装到211室，并对211室线路做维护调整。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智慧屏(含移动支架）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75寸电视，4K输出智慧屏 超薄全面屏 4K超高清智能电视 2GB+16GB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4进4出高清HMDI矩阵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1.采用可编程逻辑陈列电路，输入、输出信号可任意交互切换；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2.支持4路高清信号源输入，4路高清信号源输出，采用HDMI母座接口；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3.支持音视频信号同步输入、输出，方便安装与维护；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4.自适应1920×1200@60及以下各种分辨率；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5.符合HDCP标准，兼容HDMI 1.3A，确保有内容保护的媒体能正常显示；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6.内置数字缓冲、信号补偿电路，具备自动增益调节、长距离传输失真补偿功能；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7.具备7个切换按键，支持快速切换操作，可提供多种按键颜色选择，方便用户选择；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8.内置红外接收模块，支持红外遥控切换功能；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9.装备160×32高亮度LCD显示屏，可实时显示操作状态；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10.具有掉电记忆功能，带有断电现场保护功能；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11.具有输入同步信号自动检测功能；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12.支持EDID管理功能；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13.支持一键快速查询功能，方便查看矩阵的切换状态；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14.支持RS-485扩展键盘操作或PC电脑专业软件快速切换设置功能；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15.具有1路RS-232通讯接口，支持电脑控制或可编程中央控制系统控制；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16.具有1路网络扩展口，可通过以太网远程控制，支持8个用户同时连接；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17.可选配内置中控模块，提供app，支持iphone、ipad、安卓平板及手机无线控制；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LED屏铝型材平面结构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铝型材为4040-8GW重型铝型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灯光，LED屏背景墙改造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吊顶改造，背景墙用护墙板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图腾G2-6642  600*600*2000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综合布线及安装调试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线包含发送盒到显示屏信号传输网线，配电箱到显示屏供电线，包含发送盒到显示屏信号传输超六类网线，配电箱到显示屏供电线3*2.5平方RVV线，，会议摄像机布线，音箱改造，光缆改造，线材必须使用品牌线材，音频线必须是含银线，HDMI线必须支持1.4标准。网线必须是6类双屏蔽线，电源线必须是多股铜芯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项目施工及安装，调试，培训等（7.29平米），含LED屏维护工具1套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</w:p>
    <w:tbl>
      <w:tblPr>
        <w:tblStyle w:val="7"/>
        <w:tblW w:w="13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615"/>
        <w:gridCol w:w="615"/>
        <w:gridCol w:w="7462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416会议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室升级改造招标参数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全彩高清LED显示屏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1、显示屏尺寸要求：宽＝3.6m ，高＝2.025m，为适应整体效果，分辨率宽＝2880，高＝1620，整屏面积＝7.29㎡。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2、封装方式：采用集成三合一COB封装1R1G1B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3、不接受OEM厂家产品，品牌具备完整的生产基地及全套生产设备。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4、像素间距≤1.25mm；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5、箱体材料：压铸铝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6、箱体平整度（mm）：≤0.1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7、维护方式：前维护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8、单点亮度校正：有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9、单点颜色校正：有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10、亮度色度校正存储：数据存在模组上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11、亮度（CD/㎡）：50-650无级调节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12、亮度均匀性：≥97%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13、色度均匀性：0.003Cx,Cy之内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14、灰度（bit）：16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15、刷新率（Hz）：3840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16、色温（K）：3200～9300可调节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17、水平视角（ °）：≥170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18、垂直视角（ °）：≥170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19、对比度 ≥6000:1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20、峰值功耗（W/m2）：440，平均功耗（W/m2）：150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21、显示屏通过GB/T 2423.3-2006恒定湿热实验后可正常工作；箱体通过GB/T 2423.17-2008盐雾实验样品未见腐蚀；箱体通过GB/T 2423.10-2008扫频耐久试验验之后结构无损伤；显示屏符合GB/T 4208-2017外壳防护等级IP65级防护能力。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22、LED模组采用共阴原理设计；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23、显示屏单个像素模块以水平夹角45度的方向施加150N，像素模块内像素点未破碎或脱落。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24、显示屏电磁兼容性能符合GB/T 17626.2-2006标准等级3判据B的要求，静电放电抗扰度符合B级要求；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25、显示屏符合GB/T18313-2001声学信息技术设备和通信标准，整屏噪音平均声压级＜6dB（球面半径1.5M处）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视频控制器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视频控制器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1.输入接口：2 ×HDMI 1.4，1 × DVI，1 × 3G-SDI（IN+LOOP），1 × 3.5mm 音频输入接口，输出接口 ：10 路千兆网口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2.最大带载 650 万像素，单台设备输出最大宽度 10240，高度 8192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 路 HDMI 1.3 输出接口 可用作输出预监或视频输出音频输入输出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4.支持 HDMI 伴随音频输入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5.支持 3.5mm 的独立音频输入、支持 3.5mm 独立音频输出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6.支持通过多功能卡进行音频输出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7.低至 1 帧延迟输出 低延迟开关开启、输入源同步开启，输入源到接收卡的延时可减少至 1 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8.3个图层 图层大小和位置可单独调节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9.支持图层按照 Z 序优先级调整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10.强大视频处理能力、搭载 SuperView III 画质处理技术、支持输出 画面无极缩放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11.支持一键全屏缩放、支持输入源任意截取画质调整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12.支持输入画质管理，包括亮度、对比度、饱和度 和色度调整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13.多场景保存和调用 支持 10 个用户可自定义场景保存和调用热备份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14.支持输入源热备功能 支持网口间备份 ，同步输出支持使用内部输入源作为同步源，保证输入输出 画面同步。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15.支持逐点亮色度校正 对每个灯点的亮度和色度进行校正，有效消除色差，使整屏的亮度和色度达到高度均匀一致，提高显示屏的画质。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会议摄像机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20倍光学变焦1080P高清视频会议摄像头/会议摄像机/DVI/HD-SDI/AV分量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1080P(20倍光学变焦) 最高分辨率1920*1080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LED屏配电柜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1.具备手动控制设备供电的开启和关闭；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2.多组回路输出，每组可独立控制；标配为手动控制，可添加多种控制方式；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3.具备上电保护功能，具有防雷、过流、短路等保护；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4.标配检修多功能插座及检修照明开关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5.具有电源状态指示、运行状态指示；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6.内部线材均采用4平方国标纯铜导线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7.总开3P/60A, 交流接触器2510*2，输出3路1P/D32A,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数字会议主机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整机功耗：200W  单元功耗：1.5w 信噪比：＞=80DB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灵敏度：5WV 频率响应：80Hz-15KHz±3dB  平衡输出：-50dB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非平衡输出：0dB RCA输出：0dB 低音：±10dB/100Hz 中音：±10dB/10Khz 高音：±10d/10Khz 系统工作电压：+24v DC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数字会议话筒单元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频率响应 主席机、列席机：80-15KHz 辅助输入：80Hz-20KHz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高低音调节 低音：±l0dB/100Hz 高音：±l0dB/10KHz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灵敏度 主席机／列席机：5mV 助输入：300mV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信噪比 主席机／列席机MIC：≥70dB 辅助输入：≥90dB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耐压 3000V 接地电阻 ≤O.1Ω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电视（含会议屏移动支架）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75寸电视，4K输出智慧屏 超薄全面屏 4K超高清智能电视 2GB+16GB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4进4出高清HMDI矩阵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1.采用可编程逻辑陈列电路，输入、输出信号可任意交互切换；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2.支持4路高清信号源输入，4路高清信号源输出，采用HDMI母座接口；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3.支持音视频信号同步输入、输出，方便安装与维护；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4.自适应1920×1200@60及以下各种分辨率；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5.符合HDCP标准，兼容HDMI 1.3A，确保有内容保护的媒体能正常显示；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6.内置数字缓冲、信号补偿电路，具备自动增益调节、长距离传输失真补偿功能；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7.具备7个切换按键，支持快速切换操作，可提供多种按键颜色选择，方便用户选择；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8.内置红外接收模块，支持红外遥控切换功能；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9.装备160×32高亮度LCD显示屏，可实时显示操作状态；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10.具有掉电记忆功能，带有断电现场保护功能；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11.具有输入同步信号自动检测功能；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12.支持EDID管理功能；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13.支持一键快速查询功能，方便查看矩阵的切换状态；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14.支持RS-485扩展键盘操作或PC电脑专业软件快速切换设置功能；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15.具有1路RS-232通讯接口，支持电脑控制或可编程中央控制系统控制；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16.具有1路网络扩展口，可通过以太网远程控制，支持8个用户同时连接；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17.可选配内置中控模块，提供app，支持iphone、ipad、安卓平板及手机无线控制；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LED屏铝型材平面结构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铝型材为4040-8GW重型铝型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灯光，LED屏背景墙改造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吊顶改造，更换筒灯，背景墙用护墙板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图腾G2-6642  600*600*1800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2"/>
                <w:lang w:val="en-US" w:eastAsia="zh-CN" w:bidi="ar"/>
              </w:rPr>
              <w:t>416会议室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综合布线及安装调试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线包含发送盒到显示屏信号传输网线，配电箱到显示屏供电线，包含发送盒到显示屏信号传输超六类网线，配电箱到显示屏供电线3*2.5平方RVV线，，会议摄像机布线，音箱改造，光缆改造，线材必须使用品牌线材，音频线必须是含银线，HDMI线必须支持1.4标准。网线必须是6类双屏蔽线，电源线必须是多股铜芯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项目施工及安装，调试，培训等（7.29平米），含LED屏维护工具1套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tbl>
      <w:tblPr>
        <w:tblStyle w:val="7"/>
        <w:tblW w:w="13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615"/>
        <w:gridCol w:w="630"/>
        <w:gridCol w:w="747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校史馆更新改造招标参数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全彩高清LED显示屏A1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9.9225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1、显示屏尺寸要求：宽＝4.2m ，高＝2.36m，为适应整体效果，分辨率宽＝3360，高＝1890，整屏面积＝9.9225㎡。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2、封装方式：采用集成三合一COB封装1R1G1B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3、不接受OEM厂家产品，品牌具备完整的生产基地及全套生产设备。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4、像素间距≤1.25mm；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5、箱体材料：压铸铝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6、箱体平整度（mm）：≤0.1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7、维护方式：前维护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8、单点亮度校正：有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9、单点颜色校正：有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10、亮度色度校正存储：数据存在模组上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11、亮度（CD/㎡）：50-650无级调节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12、亮度均匀性：≥97%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13、色度均匀性：0.003Cx,Cy之内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14、灰度（bit）：16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15、刷新率（Hz）：3840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16、色温（K）：3200～9300可调节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17、水平视角（ °）：≥170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18、垂直视角（ °）：≥170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19、对比度 ≥6000:1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20、峰值功耗（W/m2）：440，平均功耗（W/m2）：150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21、显示屏通过GB/T 2423.3-2006恒定湿热实验后可正常工作；箱体通过GB/T 2423.17-2008盐雾实验样品未见腐蚀；箱体通过GB/T 2423.10-2008扫频耐久试验验之后结构无损伤；显示屏符合GB/T 4208-2017外壳防护等级IP65级防护能力。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22、LED模组采用共阴原理设计；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23、显示屏单个像素模块以水平夹角45度的方向施加150N，像素模块内像素点未破碎或脱落。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24、显示屏电磁兼容性能符合GB/T 17626.2-2006标准等级3判据B的要求，静电放电抗扰度符合B级要求；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25、显示屏符合GB/T18313-2001声学信息技术设备和通信标准，整屏噪音平均声压级＜6dB（球面半径1.5M处）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全彩高清LED显示屏A2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1、显示屏尺寸要求：宽＝3.0m ，高＝1.6875m，为适应整体效果，分辨率宽＝2400，高＝1350，整屏面积＝5.0625㎡。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2、封装方式：采用集成三合一COB封装1R1G1B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3、不接受OEM厂家产品，品牌具备完整的生产基地及全套生产设备。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4、像素间距≤1.25mm；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5、箱体材料：压铸铝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6、箱体平整度（mm）：≤0.1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7、维护方式：前维护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8、单点亮度校正：有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9、单点颜色校正：有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10、亮度色度校正存储：数据存在模组上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11、亮度（CD/㎡）：50-650无级调节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12、亮度均匀性：≥97%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13、色度均匀性：0.003Cx,Cy之内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14、灰度（bit）：16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15、刷新率（Hz）：3840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16、色温（K）：3200～9300可调节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17、水平视角（ °）：≥170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18、垂直视角（ °）：≥170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19、对比度 ≥6000:1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20、峰值功耗（W/m2）：440，平均功耗（W/m2）：150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21、显示屏通过GB/T 2423.3-2006恒定湿热实验后可正常工作；箱体通过GB/T 2423.17-2008盐雾实验样品未见腐蚀；箱体通过GB/T 2423.10-2008扫频耐久试验验之后结构无损伤；显示屏符合GB/T 4208-2017外壳防护等级IP65级防护能力。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22、LED模组采用共阴原理设计；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23、显示屏单个像素模块以水平夹角45度的方向施加150N，像素模块内像素点未破碎或脱落。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24、显示屏电磁兼容性能符合GB/T 17626.2-2006标准等级3判据B的要求，静电放电抗扰度符合B级要求；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25、显示屏符合GB/T18313-2001声学信息技术设备和通信标准，整屏噪音平均声压级＜6dB（球面半径1.5M处）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视频控制器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视频控制器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1.输入接口：2 ×HDMI 1.4，1 × DVI，1 × 3G-SDI（IN+LOOP），1 × 3.5mm 音频输入接口，输出接口 ：10 路千兆网口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2.最大带载 650 万像素，单台设备输出最大宽度 10240，高度 8192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 路 HDMI 1.3 输出接口 可用作输出预监或视频输出音频输入输出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4.支持 HDMI 伴随音频输入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5.支持 3.5mm 的独立音频输入、支持 3.5mm 独立音频输出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6.支持通过多功能卡进行音频输出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7.低至 1 帧延迟输出 低延迟开关开启、输入源同步开启，输入源到接收卡的延时可减少至 1 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8.3个图层 图层大小和位置可单独调节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9.支持图层按照 Z 序优先级调整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10.强大视频处理能力、搭载 SuperView III 画质处理技术、支持输出 画面无极缩放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11.支持一键全屏缩放、支持输入源任意截取画质调整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12.支持输入画质管理，包括亮度、对比度、饱和度 和色度调整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13.多场景保存和调用 支持 10 个用户可自定义场景保存和调用热备份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14.支持输入源热备功能 支持网口间备份 ，同步输出支持使用内部输入源作为同步源，保证输入输出 画面同步。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15.支持逐点亮色度校正 对每个灯点的亮度和色度进行校正，有效消除色差，使整屏的亮度和色度达到高度均匀一致，提高显示屏的画质。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LED屏配电柜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1.具备手动控制设备供电的开启和关闭；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2.多组回路输出，每组可独立控制；标配为手动控制，可添加多种控制方式；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3.具备上电保护功能，具有防雷、过流、短路等保护；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4.标配检修多功能插座及检修照明开关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5.具有电源状态指示、运行状态指示；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6.内部线材均采用正泰4平方国标纯铜导线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7.总开3P/60A, 交流接触器2510*2，输出3路1P/D32A,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LED屏铝型材平面结构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14.985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铝型材为4040-8GW重型铝型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图腾G2-6642  600*600*1800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智能网络音视频发布盒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1.支持广域网、局域网远程发布；支持单机U盘播放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2.支持HDMI3840*2160 4K输出，支持图片，视频循环播放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3.采用RK3288 Cortex-A 1 7 四核超强CPU ，摆载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4.Androìd7.1 系统，主掘iQ离; 由1.8 GHz. 采用Mali-TI64 GPU, 支持4K 、H .265 硬解码. 盒子本身可选择16.64GB EMMC;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5.集成以太网HDMI. WIFI. U5B、4G 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主持12V 电源输入.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 支持HDMI 1080P , 4K 解码，支持HDMI4K 点屏.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8.HDMI 输出1 个，支持1080Pz ， 4kx2k 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9.视频幅式支持wmv、avi、flv、rm、rmvb, mpeg、mp4 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圈片格式支持BMP、JPEG、PNG GIF等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75寸，4K输出华为智慧屏 超薄全面屏 4K超高清智能电视 2GB+16GB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综合布线及安装调试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线包含发送盒到显示屏信号传输网线，配电箱到显示屏供电线，包含发送盒到显示屏信号传输超六类网线，配电箱到显示屏供电线3*2.5平方RVV线，整合图书馆大屏控制设备，线材必须使用品牌线材，音频线必须是含银线，HDMI线必须支持1.4标准。网线必须是6类双屏蔽线，电源线必须是多股铜芯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项目施工及安装，调试，培训等（14.985平米），含LED屏维护工具1套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2656B18"/>
    <w:rsid w:val="051C6A47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2F2D14C0"/>
    <w:rsid w:val="30DE1913"/>
    <w:rsid w:val="37E262F1"/>
    <w:rsid w:val="3CB37D2A"/>
    <w:rsid w:val="3E9D5F46"/>
    <w:rsid w:val="3EBBDAC6"/>
    <w:rsid w:val="43272D44"/>
    <w:rsid w:val="435A7A2D"/>
    <w:rsid w:val="44CE5151"/>
    <w:rsid w:val="457C433B"/>
    <w:rsid w:val="45AF05D2"/>
    <w:rsid w:val="461E5F97"/>
    <w:rsid w:val="473A5A66"/>
    <w:rsid w:val="47433A8B"/>
    <w:rsid w:val="47E74CD5"/>
    <w:rsid w:val="4B3379EF"/>
    <w:rsid w:val="4BA821A3"/>
    <w:rsid w:val="4C12521A"/>
    <w:rsid w:val="4D257B59"/>
    <w:rsid w:val="500959B2"/>
    <w:rsid w:val="519F2263"/>
    <w:rsid w:val="55436D76"/>
    <w:rsid w:val="558F695C"/>
    <w:rsid w:val="56773E73"/>
    <w:rsid w:val="56C37942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5284374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101"/>
    <w:basedOn w:val="9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01"/>
    <w:basedOn w:val="9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51"/>
    <w:basedOn w:val="9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7759</Words>
  <Characters>9823</Characters>
  <Lines>9</Lines>
  <Paragraphs>2</Paragraphs>
  <TotalTime>35</TotalTime>
  <ScaleCrop>false</ScaleCrop>
  <LinksUpToDate>false</LinksUpToDate>
  <CharactersWithSpaces>10408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2020-07-14T10:38:00Z</dcterms:created>
  <dc:creator>蛋蛋君丶</dc:creator>
  <cp:lastModifiedBy>dandelion</cp:lastModifiedBy>
  <dcterms:modified xsi:type="dcterms:W3CDTF">2023-02-24T08:05:48Z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86C3366DB53842A3B8DDD850D21A2861</vt:lpwstr>
  </property>
</Properties>
</file>